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AB" w:rsidRPr="00394DAB" w:rsidRDefault="00394DAB" w:rsidP="00394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4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 </w:t>
      </w:r>
      <w:proofErr w:type="spellStart"/>
      <w:proofErr w:type="gramStart"/>
      <w:r w:rsidRPr="00394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394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394DAB" w:rsidRPr="00394DAB" w:rsidRDefault="00394DAB" w:rsidP="00394DA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8"/>
          <w:sz w:val="28"/>
          <w:szCs w:val="28"/>
          <w:lang w:eastAsia="ru-RU"/>
        </w:rPr>
      </w:pPr>
      <w:r w:rsidRPr="00394DAB">
        <w:rPr>
          <w:rFonts w:ascii="Times New Roman" w:eastAsia="Times New Roman" w:hAnsi="Times New Roman" w:cs="Times New Roman"/>
          <w:b/>
          <w:color w:val="000000"/>
          <w:spacing w:val="28"/>
          <w:sz w:val="28"/>
          <w:szCs w:val="28"/>
          <w:lang w:eastAsia="ru-RU"/>
        </w:rPr>
        <w:t>ИРКУТСКАЯ ОБЛАСТЬ</w:t>
      </w:r>
    </w:p>
    <w:p w:rsidR="00394DAB" w:rsidRPr="00394DAB" w:rsidRDefault="00394DAB" w:rsidP="00394DAB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394DA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ДУМА МУНИЦИПАЛЬНОГО ОБРАЗОВАНИЯ</w:t>
      </w:r>
    </w:p>
    <w:p w:rsidR="00394DAB" w:rsidRPr="00394DAB" w:rsidRDefault="00394DAB" w:rsidP="00394DAB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394DA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proofErr w:type="spellStart"/>
      <w:r w:rsidRPr="00394DA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Аларь</w:t>
      </w:r>
      <w:proofErr w:type="spellEnd"/>
      <w:r w:rsidRPr="00394DA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»</w:t>
      </w:r>
    </w:p>
    <w:p w:rsidR="00394DAB" w:rsidRPr="00394DAB" w:rsidRDefault="00394DAB" w:rsidP="00394DAB">
      <w:pPr>
        <w:tabs>
          <w:tab w:val="center" w:pos="7513"/>
          <w:tab w:val="right" w:pos="830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proofErr w:type="gramStart"/>
      <w:r w:rsidRPr="00394DA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Р</w:t>
      </w:r>
      <w:proofErr w:type="gramEnd"/>
      <w:r w:rsidRPr="00394DA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Е Ш Е Н И Е</w:t>
      </w:r>
    </w:p>
    <w:p w:rsidR="00394DAB" w:rsidRPr="00394DAB" w:rsidRDefault="00394DAB" w:rsidP="0039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AB" w:rsidRPr="00394DAB" w:rsidRDefault="00394DAB" w:rsidP="00394DAB">
      <w:pPr>
        <w:tabs>
          <w:tab w:val="center" w:pos="751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394D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6FABD" wp14:editId="036DF536">
                <wp:simplePos x="0" y="0"/>
                <wp:positionH relativeFrom="column">
                  <wp:posOffset>5715</wp:posOffset>
                </wp:positionH>
                <wp:positionV relativeFrom="page">
                  <wp:posOffset>2324100</wp:posOffset>
                </wp:positionV>
                <wp:extent cx="6210300" cy="0"/>
                <wp:effectExtent l="0" t="19050" r="1905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45pt,183pt" to="489.4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" strokeweight="4.5pt">
                <v:stroke linestyle="thinThick"/>
                <w10:wrap anchory="page"/>
              </v:line>
            </w:pict>
          </mc:Fallback>
        </mc:AlternateContent>
      </w:r>
      <w:r w:rsidRPr="00394DA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                                                       </w:t>
      </w:r>
      <w:r w:rsidRPr="00394DA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   </w:t>
      </w:r>
    </w:p>
    <w:p w:rsidR="00394DAB" w:rsidRDefault="00394DAB" w:rsidP="00394DAB">
      <w:pPr>
        <w:tabs>
          <w:tab w:val="center" w:pos="7513"/>
          <w:tab w:val="right" w:pos="8306"/>
        </w:tabs>
        <w:spacing w:after="0" w:line="240" w:lineRule="auto"/>
        <w:ind w:left="-142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От  24</w:t>
      </w:r>
      <w:r w:rsidRPr="00394DA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.03. 2016 года №</w:t>
      </w:r>
      <w:r w:rsidRPr="00394DAB"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74</w:t>
      </w:r>
      <w:r w:rsidRPr="00394DA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/3 - </w:t>
      </w:r>
      <w:proofErr w:type="spellStart"/>
      <w:r w:rsidRPr="00394DA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дмо</w:t>
      </w:r>
      <w:proofErr w:type="spellEnd"/>
      <w:r w:rsidRPr="00394DA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      с. </w:t>
      </w:r>
      <w:proofErr w:type="spellStart"/>
      <w:r w:rsidRPr="00394DA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Аларь</w:t>
      </w:r>
      <w:proofErr w:type="spellEnd"/>
    </w:p>
    <w:p w:rsidR="00394DAB" w:rsidRDefault="00394DAB" w:rsidP="00394DAB">
      <w:pPr>
        <w:tabs>
          <w:tab w:val="center" w:pos="7513"/>
          <w:tab w:val="right" w:pos="8306"/>
        </w:tabs>
        <w:spacing w:after="0" w:line="240" w:lineRule="auto"/>
        <w:ind w:left="-142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«О внесении изменений </w:t>
      </w:r>
    </w:p>
    <w:p w:rsidR="00394DAB" w:rsidRDefault="00394DAB" w:rsidP="00394DAB">
      <w:pPr>
        <w:tabs>
          <w:tab w:val="center" w:pos="7513"/>
          <w:tab w:val="right" w:pos="8306"/>
        </w:tabs>
        <w:spacing w:after="0" w:line="240" w:lineRule="auto"/>
        <w:ind w:left="-142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 Решение Думы МО «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Аларь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»</w:t>
      </w:r>
    </w:p>
    <w:p w:rsidR="00394DAB" w:rsidRPr="00394DAB" w:rsidRDefault="00394DAB" w:rsidP="00394DAB">
      <w:pPr>
        <w:tabs>
          <w:tab w:val="center" w:pos="7513"/>
          <w:tab w:val="right" w:pos="8306"/>
        </w:tabs>
        <w:spacing w:after="0" w:line="240" w:lineRule="auto"/>
        <w:ind w:left="-142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от 15.06.2015 г.»</w:t>
      </w:r>
    </w:p>
    <w:p w:rsidR="00394DAB" w:rsidRPr="00394DAB" w:rsidRDefault="00394DAB" w:rsidP="003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AB" w:rsidRPr="00394DAB" w:rsidRDefault="00394DAB" w:rsidP="003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AB" w:rsidRPr="00394DAB" w:rsidRDefault="00394DAB" w:rsidP="003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протестом прокурора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15.06.2016 г. «Об утверждении программы комплексного развития систем коммунальной инфраструктуры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2015-2025 годы»</w:t>
      </w:r>
    </w:p>
    <w:p w:rsidR="00394DAB" w:rsidRPr="00394DAB" w:rsidRDefault="00394DAB" w:rsidP="003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DAB" w:rsidRPr="00394DAB" w:rsidRDefault="00394DAB" w:rsidP="003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AB" w:rsidRDefault="00394DAB" w:rsidP="00394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муниципального образования «</w:t>
      </w:r>
      <w:proofErr w:type="spellStart"/>
      <w:r w:rsidRP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P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D71BA" w:rsidRPr="00394DAB" w:rsidRDefault="00ED71BA" w:rsidP="00394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AB" w:rsidRDefault="00394DAB" w:rsidP="00394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D71BA" w:rsidRDefault="00ED71BA" w:rsidP="00394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1BA" w:rsidRPr="00394DAB" w:rsidRDefault="00ED71BA" w:rsidP="00394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1BA" w:rsidRDefault="00ED71BA" w:rsidP="003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изменения в Решение Думы муниципального образования «</w:t>
      </w:r>
      <w:proofErr w:type="spellStart"/>
      <w:r w:rsid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15.06.2016 г. «Об утверждении программы комплексного развития систем коммунальной инфраструктуры МО «</w:t>
      </w:r>
      <w:proofErr w:type="spellStart"/>
      <w:r w:rsid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94DAB" w:rsidRPr="00394DAB" w:rsidRDefault="00ED71BA" w:rsidP="003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прилагаются)</w:t>
      </w:r>
    </w:p>
    <w:p w:rsidR="00394DAB" w:rsidRDefault="00394DAB" w:rsidP="003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proofErr w:type="gramStart"/>
      <w:r w:rsidRP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proofErr w:type="gramEnd"/>
      <w:r w:rsidRP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 информационном бюллетене «</w:t>
      </w:r>
      <w:proofErr w:type="spellStart"/>
      <w:r w:rsidRP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Аларский</w:t>
      </w:r>
      <w:proofErr w:type="spellEnd"/>
      <w:r w:rsidRP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394DAB" w:rsidRPr="00394DAB" w:rsidRDefault="00394DAB" w:rsidP="003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394DAB" w:rsidRPr="00394DAB" w:rsidRDefault="00394DAB" w:rsidP="003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AB" w:rsidRPr="00394DAB" w:rsidRDefault="00394DAB" w:rsidP="003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DAB" w:rsidRDefault="00394DAB" w:rsidP="003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P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</w:t>
      </w:r>
      <w:proofErr w:type="spellStart"/>
      <w:r w:rsidRP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А.В.Батаева</w:t>
      </w:r>
      <w:proofErr w:type="spellEnd"/>
    </w:p>
    <w:p w:rsidR="005E6AB2" w:rsidRDefault="005E6AB2" w:rsidP="003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AB2" w:rsidRDefault="005E6AB2" w:rsidP="003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AB2" w:rsidRDefault="005E6AB2" w:rsidP="003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AB2" w:rsidRDefault="005E6AB2" w:rsidP="003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AB2" w:rsidRDefault="005E6AB2" w:rsidP="003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AB2" w:rsidRDefault="005E6AB2" w:rsidP="003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AB2" w:rsidRDefault="005E6AB2" w:rsidP="003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AB2" w:rsidRDefault="005E6AB2" w:rsidP="003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AB2" w:rsidRDefault="005E6AB2" w:rsidP="003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AB2" w:rsidRDefault="005E6AB2" w:rsidP="003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AB2" w:rsidRPr="00394DAB" w:rsidRDefault="005E6AB2" w:rsidP="00394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44F" w:rsidRPr="0060444F" w:rsidRDefault="00394DAB" w:rsidP="006044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44F"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КОМПЛЕКСНОГО РАЗВИТИЯ СИСТЕМ КОММУНАЛЬНОЙ ИНФРАСТРУКТУРЫ МУНИЦИПАЛЬНОГО ОБРАЗОВАНИЯ  </w:t>
      </w:r>
      <w:r w:rsidR="0060444F" w:rsidRPr="006044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60444F" w:rsidRPr="00604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="0060444F" w:rsidRPr="0060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60444F" w:rsidRPr="00604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Аларского</w:t>
      </w:r>
      <w:proofErr w:type="spellEnd"/>
      <w:r w:rsidR="0060444F" w:rsidRPr="0060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0444F"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2015-2018 ГОДЫ С ПЕРСПЕКТИВОЙ ДО 2025 года</w:t>
      </w:r>
      <w:proofErr w:type="gramStart"/>
      <w:r w:rsidR="0060444F"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0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наименование Программы Программа комплексного развития систем коммунальной инфраструктуры муниципального образования сельское поселение МО «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Аларь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Аларского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Иркутской области на 2014-2018 годы с перспективой до 2025 года Основание для разработки Программы - Распоряжение Главы администрации муниципального образования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Договор от 18.03.2014г. на выполнение работ по разработке Программы комплексного развития систем коммунальной инфраструктуры муниципального образования на 2015-2018 годы с перспективой до 2025 года. - Федеральный закон от 30.12.2004 г. № 210-ФЗ «Об основах регулирования тарифов организаций коммунального комплекса»; - Приказ Министерства регионального развития РФ от 06.05.2011 г. №204 «О разработке 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</w:t>
      </w: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Создание базового документа для дальнейшей разработки инвестиционных, производственных программ организаций коммунального комплекса муниципального образования «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Аларь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образования, в целях: - повышения уровня надежности, качества и эффективности работы коммунального комплекса; -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ситуации. </w:t>
      </w:r>
      <w:proofErr w:type="gramEnd"/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Инженерно-техническая оптимизация коммунальных систем. 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Взаимосвязанное перспективное планирование развития систем. 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Обоснование мероприятий по комплексной реконструкции и модернизации 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Повышение надежности систем и качества предоставления коммунальных услуг. 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Совершенствование механизмов развития энергосбережения и повышение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коммунальной инфраструктуры муниципального образования. 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Повышение инвестиционной привлекательности коммунальной инфраструктуры муниципального образования. 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Обеспечение сбалансированности интересов субъектов коммунальной инфраструктуры и потребителей. 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индикаторы и показатели снижение потерь коммунальных ресурсов: теплоснабжение до 3 %; водоснабжение до 17 %; водоотведение 12 %; электроснабжение 3 %. 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этапы реализации Программы Срок реализации программы - 2025 год. 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осуществления Программы: первый этап – 2015 год; второй этап – 2016 год; третий этап – 2017 год; четвертый этап – 2018 год; пятый этап – 2019 год; шестой этап – с 2020 года по 2025 год.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Объемы требуемых капитальных вложений Объем финансирования Программы составляет 1505,275млн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в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видам коммунальных услуг: 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Теплоснабжение - 79,045млн. руб. Водоснабжение - 162,4 млн. руб. Водоотведение - 283,98 млн. руб. Электроснабжение - 917,45 млн. руб. Захоронение и утилизации ТБО - 11,65 млн. руб. </w:t>
      </w:r>
      <w:proofErr w:type="gramEnd"/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 реализации программы. Установление оптимального значения нормативов потребления коммунальных услуг с учетом применения эффективных </w:t>
      </w: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технологических решений, использования современных материалов и оборудования. Предложения по созданию эффективной системы 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инвестиционных и производственных программ организации коммунального комплекса. Внедрение новых методик и современных технологий, в том числе энергосберегающих, в функционировании систем коммунальной инфраструктуры. Прогноз стоимости всех коммунальных ресурсов. Определение затрат на реализацию мероприятий программы, эффекты, возникающие в результате реализации мероприятий программы и источники инвестиций для реализации мероприятий программы.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ХАРАКТЕРИСТИКА СУЩЕСТВУЮЩЕГО СОСТОЯНИЯ КОММУНАЛЬНОЙ ИНФРАСТРУКТУРЫ 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Краткий анализ существующего состояния сбора и вывоза бытовых отходов и мусора, выявление проблем функционирования и развития коммунальной инфраструктуры  в целях 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овышения уровня надежности, качества и эффективности работы коммунального комплекса-обновления и модернизации основных фондов коммунального комплекса в соответствии с современными требованиями к технологии и качества услуг и улучшения экологической ситуации.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территории МО «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Аларь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 Ответственность за санитарное состояние несет администрация  МО «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Аларь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Нормы накопления твердых бытовых отходов величина не постоянная, а изменяющаяся с течением времени. Это объясняется тем, что количество образующихся отходов зависит от уровня благосостояния населения, культуры торговли, уровня развития промышленности и др. Так, отмечается тенденция роста количества образующихся отходов с ростом доходов населения. 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значительную долю в общей массе отходов составляет использованная упаковка, качество которой за последние несколько лет изменилось - помимо традиционных материалов, таких, как бумага, картон, стекло и жесть, значительная часть товаров упаковывается в полимерную пленку, металлическую фольгу, пластик и др., Наблюдается тенденция быстрого морального старения вещей, что также ведет к росту количества отходов.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СХПК «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»м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астерская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гаражи, образовательные учреждения дошкольное образовательное учреждение, сбербанк, дома культуры стадион, а также низкая культура жителей. Наличие утвержденных норм позволяет оценить объемы образующихся отходов от населения и организаций на текущий момент и перспективу.  Сбор ТБО осуществляется на территории домовладений по улицам, структурных подразделений. Для сбора отходов 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объектов контейнера. Транспортировка и захоронение отходов осуществляется собственным транспортом жителей, а также трактором МТЗ-80 администрации МО «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Аларь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сбора и вывоза ТБО  утвержден график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Зимнее содержание дорог (проезжих частей, выездов, обочин) выполняет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ГУДЭП . Захоронение ТБО производится  в силосных ямах, которые находятся в 3-</w:t>
      </w:r>
      <w:smartTag w:uri="urn:schemas-microsoft-com:office:smarttags" w:element="metricconverter">
        <w:smartTagPr>
          <w:attr w:name="ProductID" w:val="5 км"/>
        </w:smartTagPr>
        <w:r w:rsidRPr="006044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км</w:t>
        </w:r>
      </w:smartTag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населенного  пункта В отдаленных, труднодоступных населенных пунктах отходы сжигаются жителями самостоятельно., что не положено, это приводит к загрязнению атмосферного воздуха и осаждению продуктов горения в почве; Вывоз отходов осуществляется на санкционированную свалку, которая не обустроена в соответствии с санитарными нормами. Это приводит к проникновению загрязняющих веществ в почву и грунтовые воды; В системе обращения с отходами не уделено особое внимание опасным отходам, в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ртутьсодержащим (люминесцентные лампы, термометры, прочие приборы); Отсутствует разработанная система снижения объема отходов, поступающих на захоронение (раздельный сбор, сортировка, вторичное использование). Существенным недостатком нынешней системы обращения с отходами</w:t>
      </w: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неэффективная организация раздельного сбора отходов, вторичного 43 использования сырья, сбора и вывоза жидких бытовых отходов от неблагоустроенного жилого фонда. Кроме того, актуальной проблемой остается стихийное образование </w:t>
      </w: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несанкционированных свалок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сделать вывод, что главным фактором, влияющим на положение дел в этой отрасли, является недостаточное финансирование.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Водоснабжение.</w:t>
      </w:r>
    </w:p>
    <w:p w:rsidR="0060444F" w:rsidRPr="0060444F" w:rsidRDefault="0060444F" w:rsidP="0060444F">
      <w:pPr>
        <w:shd w:val="clear" w:color="auto" w:fill="FFFFFF"/>
        <w:spacing w:after="0" w:line="274" w:lineRule="exact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Водоснабжение всех населённых пунктов поселения осуществляется через водонапорные башни. Состояние водопроводных сетей оценивается как средне изношенное в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ларь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наибольшая часть оборудования водоснабжения введена в экс</w:t>
      </w: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плуатацию более 50 лет назад. Для системы  водоснабжения были характерны частые порывы водопроводной </w:t>
      </w:r>
      <w:r w:rsidRPr="006044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сети, нехватка воды в периоды наибольшего потребления, неудовлетворительное качество питьевой воды. Объёмы аварийных ремонтов существенно превышали допустимые уров</w:t>
      </w:r>
      <w:r w:rsidRPr="006044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ни, что увеличивало расходы на водоснабжение потребителей и стоимость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2015г построили новую станцию, построили локальную водопроводную сеть с 9 водозаборными колонками по программе «Устойчивое развитие сельских поселений 2014-2017года и на период 2020г», эта работа продолжится в 2016г. Проведено освещение на 4 водонапорных башнях, в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отол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освещения ожидается в конце мая 2016г</w:t>
      </w:r>
    </w:p>
    <w:p w:rsidR="0060444F" w:rsidRPr="0060444F" w:rsidRDefault="0060444F" w:rsidP="0060444F">
      <w:pPr>
        <w:shd w:val="clear" w:color="auto" w:fill="FFFFFF"/>
        <w:spacing w:after="0" w:line="274" w:lineRule="exact"/>
        <w:ind w:left="5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осуществляется из артезианских источников при постоянной рабо</w:t>
      </w: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5 водонапорных башен. Детального исследования качества воды, потребляемой населением, не </w:t>
      </w:r>
      <w:r w:rsidRPr="006044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проводилось. По имеющимся сведениям общая жесткость воды сельского по</w:t>
      </w:r>
      <w:r w:rsidRPr="006044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колеблется от 8,8 до 11,8 мг-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./л., (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2.1.4.1074-01).</w:t>
      </w:r>
    </w:p>
    <w:p w:rsidR="0060444F" w:rsidRPr="0060444F" w:rsidRDefault="0060444F" w:rsidP="0060444F">
      <w:pPr>
        <w:shd w:val="clear" w:color="auto" w:fill="FFFFFF"/>
        <w:spacing w:after="0" w:line="274" w:lineRule="exact"/>
        <w:ind w:left="10" w:right="5" w:firstLine="71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ветхом состоя</w:t>
      </w: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находилась большая часть водопровода в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ларь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Необходима значительная реконструкция во</w:t>
      </w: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допровода в с.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Аларь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намечается строительство водопроводной сети на ул. (Советская 5 домов)  в случае выделения денежных средств из федерального бюджета установится магистральная водопроводная сеть по ул.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Лазо.Требуется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модернизация водонапорных башен на территории МО «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Аларь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которая бы включала в себя:</w:t>
      </w:r>
    </w:p>
    <w:p w:rsidR="0060444F" w:rsidRPr="0060444F" w:rsidRDefault="0060444F" w:rsidP="0060444F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suppressAutoHyphens/>
        <w:autoSpaceDE w:val="0"/>
        <w:spacing w:after="0" w:line="274" w:lineRule="exact"/>
        <w:ind w:left="38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промывку и ремонт скважин;</w:t>
      </w:r>
    </w:p>
    <w:p w:rsidR="0060444F" w:rsidRPr="0060444F" w:rsidRDefault="0060444F" w:rsidP="0060444F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suppressAutoHyphens/>
        <w:autoSpaceDE w:val="0"/>
        <w:spacing w:after="0" w:line="274" w:lineRule="exact"/>
        <w:ind w:left="38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замену водоподъемных труб;</w:t>
      </w:r>
    </w:p>
    <w:p w:rsidR="0060444F" w:rsidRPr="0060444F" w:rsidRDefault="0060444F" w:rsidP="0060444F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suppressAutoHyphens/>
        <w:autoSpaceDE w:val="0"/>
        <w:spacing w:before="5" w:after="0" w:line="274" w:lineRule="exact"/>
        <w:ind w:left="38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установка приборов учета;</w:t>
      </w:r>
    </w:p>
    <w:p w:rsidR="0060444F" w:rsidRPr="0060444F" w:rsidRDefault="0060444F" w:rsidP="0060444F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suppressAutoHyphens/>
        <w:autoSpaceDE w:val="0"/>
        <w:spacing w:before="5" w:after="0" w:line="274" w:lineRule="exact"/>
        <w:ind w:left="38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строительство павильонов;</w:t>
      </w:r>
    </w:p>
    <w:p w:rsidR="0060444F" w:rsidRPr="0060444F" w:rsidRDefault="0060444F" w:rsidP="0060444F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suppressAutoHyphens/>
        <w:autoSpaceDE w:val="0"/>
        <w:spacing w:after="0" w:line="274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обустройство санитарной зоны  водонапорных башен.</w:t>
      </w:r>
    </w:p>
    <w:p w:rsidR="0060444F" w:rsidRPr="0060444F" w:rsidRDefault="0060444F" w:rsidP="0060444F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suppressAutoHyphens/>
        <w:autoSpaceDE w:val="0"/>
        <w:spacing w:after="0" w:line="274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4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Проложение</w:t>
      </w:r>
      <w:proofErr w:type="spellEnd"/>
      <w:r w:rsidRPr="006044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подъездных путей к водокачкам</w:t>
      </w:r>
    </w:p>
    <w:p w:rsidR="0060444F" w:rsidRPr="0060444F" w:rsidRDefault="0060444F" w:rsidP="0060444F">
      <w:pPr>
        <w:shd w:val="clear" w:color="auto" w:fill="FFFFFF"/>
        <w:spacing w:after="0" w:line="274" w:lineRule="exact"/>
        <w:ind w:left="24"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оборудования системы водоснабжения осуществляется СС средней эффективностью. Отсутствие приборов учета не дает возможности контролиро</w:t>
      </w: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объемы потребления воды и стимулировать рациональное расходование воды в деревня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Готол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Кукунур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Алзобей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44F" w:rsidRPr="0060444F" w:rsidRDefault="0060444F" w:rsidP="0060444F">
      <w:pPr>
        <w:shd w:val="clear" w:color="auto" w:fill="FFFFFF"/>
        <w:tabs>
          <w:tab w:val="left" w:leader="underscore" w:pos="14227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F" w:rsidRPr="0060444F" w:rsidRDefault="0060444F" w:rsidP="0060444F">
      <w:pPr>
        <w:shd w:val="clear" w:color="auto" w:fill="FFFFFF"/>
        <w:tabs>
          <w:tab w:val="left" w:leader="underscore" w:pos="14227"/>
        </w:tabs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водоснабжения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Аларского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0444F" w:rsidRPr="0060444F" w:rsidRDefault="0060444F" w:rsidP="0060444F">
      <w:pPr>
        <w:shd w:val="clear" w:color="auto" w:fill="FFFFFF"/>
        <w:tabs>
          <w:tab w:val="left" w:leader="underscore" w:pos="14227"/>
        </w:tabs>
        <w:spacing w:after="0" w:line="278" w:lineRule="exact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149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6095"/>
        <w:gridCol w:w="1232"/>
        <w:gridCol w:w="1374"/>
        <w:gridCol w:w="1416"/>
        <w:gridCol w:w="1415"/>
        <w:gridCol w:w="1101"/>
        <w:gridCol w:w="1841"/>
        <w:gridCol w:w="9"/>
      </w:tblGrid>
      <w:tr w:rsidR="0060444F" w:rsidRPr="0060444F" w:rsidTr="008A40A3">
        <w:trPr>
          <w:trHeight w:hRule="exact" w:val="1118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0444F" w:rsidRPr="0060444F" w:rsidRDefault="0060444F" w:rsidP="0060444F">
            <w:pPr>
              <w:shd w:val="clear" w:color="auto" w:fill="FFFFFF"/>
              <w:spacing w:after="0" w:line="274" w:lineRule="exact"/>
              <w:ind w:right="24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укунур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уркат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604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proofErr w:type="gramStart"/>
            <w:r w:rsidRPr="00604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.Г</w:t>
            </w:r>
            <w:proofErr w:type="gramEnd"/>
            <w:r w:rsidRPr="00604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отол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proofErr w:type="gramStart"/>
            <w:r w:rsidRPr="00604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.А</w:t>
            </w:r>
            <w:proofErr w:type="gramEnd"/>
            <w:r w:rsidRPr="00604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лзобей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0444F" w:rsidRPr="0060444F" w:rsidTr="008A40A3">
        <w:trPr>
          <w:trHeight w:hRule="exact" w:val="10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0444F" w:rsidRPr="0060444F" w:rsidRDefault="0060444F" w:rsidP="0060444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водоснабжения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74" w:lineRule="exact"/>
              <w:ind w:left="5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</w:t>
            </w: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78" w:lineRule="exact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</w:t>
            </w: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78" w:lineRule="exact"/>
              <w:ind w:left="5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</w:t>
            </w: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78" w:lineRule="exact"/>
              <w:ind w:left="5" w:right="26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</w:t>
            </w: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78" w:lineRule="exact"/>
              <w:ind w:right="28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</w:t>
            </w: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78" w:lineRule="exact"/>
              <w:ind w:left="5" w:right="30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</w:t>
            </w: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</w:t>
            </w:r>
            <w:proofErr w:type="gramStart"/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одземные</w:t>
            </w:r>
            <w:proofErr w:type="spellEnd"/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</w:tc>
      </w:tr>
      <w:tr w:rsidR="0060444F" w:rsidRPr="0060444F" w:rsidTr="008A40A3">
        <w:trPr>
          <w:gridAfter w:val="1"/>
          <w:wAfter w:w="9" w:type="dxa"/>
          <w:trHeight w:hRule="exact" w:val="8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4F" w:rsidRPr="0060444F" w:rsidRDefault="0060444F" w:rsidP="006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74" w:lineRule="exact"/>
              <w:ind w:left="10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Количество скважин (в т. ч. с </w:t>
            </w:r>
            <w:proofErr w:type="spellStart"/>
            <w:r w:rsidRPr="00604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электрообог</w:t>
            </w:r>
            <w:r w:rsidRPr="00604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ревом</w:t>
            </w:r>
            <w:proofErr w:type="spellEnd"/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74" w:lineRule="exact"/>
              <w:ind w:right="20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74" w:lineRule="exact"/>
              <w:ind w:right="17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74" w:lineRule="exact"/>
              <w:ind w:right="15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4F" w:rsidRPr="0060444F" w:rsidRDefault="0060444F" w:rsidP="006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0444F" w:rsidRPr="0060444F" w:rsidRDefault="0060444F" w:rsidP="0060444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44F" w:rsidRPr="0060444F" w:rsidTr="008A40A3">
        <w:trPr>
          <w:gridAfter w:val="1"/>
          <w:wAfter w:w="9" w:type="dxa"/>
          <w:trHeight w:hRule="exact" w:val="7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 ввода, капитального ремонта скважин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74" w:lineRule="exact"/>
              <w:ind w:right="7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78" w:lineRule="exact"/>
              <w:ind w:left="10" w:right="-202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74" w:lineRule="exact"/>
              <w:ind w:right="-1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74" w:lineRule="exact"/>
              <w:ind w:right="-1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44F" w:rsidRPr="0060444F" w:rsidTr="008A40A3">
        <w:trPr>
          <w:gridAfter w:val="1"/>
          <w:wAfter w:w="9" w:type="dxa"/>
          <w:trHeight w:hRule="exact" w:val="838"/>
        </w:trPr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Производительность скважин, </w:t>
            </w:r>
            <w:proofErr w:type="spellStart"/>
            <w:r w:rsidRPr="00604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куб.м</w:t>
            </w:r>
            <w:proofErr w:type="spellEnd"/>
            <w:r w:rsidRPr="00604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./ч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74" w:lineRule="exact"/>
              <w:ind w:right="10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74" w:lineRule="exact"/>
              <w:ind w:righ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78" w:lineRule="exact"/>
              <w:ind w:left="10" w:right="-18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4F" w:rsidRPr="0060444F" w:rsidRDefault="0060444F" w:rsidP="006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60444F" w:rsidRPr="0060444F" w:rsidRDefault="0060444F" w:rsidP="0060444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44F" w:rsidRPr="0060444F" w:rsidTr="008A40A3">
        <w:trPr>
          <w:gridAfter w:val="1"/>
          <w:wAfter w:w="9" w:type="dxa"/>
          <w:trHeight w:hRule="exact" w:val="654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скважин, </w:t>
            </w:r>
            <w:proofErr w:type="gramStart"/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60444F" w:rsidRPr="0060444F" w:rsidRDefault="0060444F" w:rsidP="006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74" w:lineRule="exact"/>
              <w:ind w:right="8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78" w:lineRule="exact"/>
              <w:ind w:right="-89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78" w:lineRule="exact"/>
              <w:ind w:left="-324" w:right="244" w:firstLine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78" w:lineRule="exact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44F" w:rsidRPr="0060444F" w:rsidTr="008A40A3">
        <w:trPr>
          <w:gridAfter w:val="1"/>
          <w:wAfter w:w="9" w:type="dxa"/>
          <w:trHeight w:hRule="exact" w:val="557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69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Количество башен (в том числе с </w:t>
            </w:r>
            <w:proofErr w:type="spellStart"/>
            <w:r w:rsidRPr="00604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электро</w:t>
            </w: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обогревом</w:t>
            </w:r>
            <w:proofErr w:type="spellEnd"/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4F" w:rsidRPr="0060444F" w:rsidRDefault="0060444F" w:rsidP="006044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4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прогноз развития систем и объектов коммунальной инфраструктуры.</w:t>
      </w:r>
    </w:p>
    <w:p w:rsidR="0060444F" w:rsidRPr="0060444F" w:rsidRDefault="0060444F" w:rsidP="0060444F">
      <w:pPr>
        <w:shd w:val="clear" w:color="auto" w:fill="FFFFFF"/>
        <w:tabs>
          <w:tab w:val="left" w:pos="1339"/>
        </w:tabs>
        <w:spacing w:before="110" w:after="0" w:line="274" w:lineRule="exact"/>
        <w:ind w:left="10" w:right="14" w:firstLine="69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и оценка перспективных вариантов модернизации и развития объектов коммунальной инфраструктуры.</w:t>
      </w:r>
    </w:p>
    <w:p w:rsidR="0060444F" w:rsidRPr="0060444F" w:rsidRDefault="0060444F" w:rsidP="0060444F">
      <w:pPr>
        <w:shd w:val="clear" w:color="auto" w:fill="FFFFFF"/>
        <w:spacing w:after="0" w:line="274" w:lineRule="exact"/>
        <w:ind w:left="70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Модернизация систем водоснабжения и водоотведения</w:t>
      </w:r>
    </w:p>
    <w:p w:rsidR="0060444F" w:rsidRPr="0060444F" w:rsidRDefault="0060444F" w:rsidP="0060444F">
      <w:pPr>
        <w:shd w:val="clear" w:color="auto" w:fill="FFFFFF"/>
        <w:spacing w:after="0" w:line="274" w:lineRule="exact"/>
        <w:ind w:left="5"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 снабжения населённых пунктов водой проанализированы следующие перспек</w:t>
      </w:r>
      <w:r w:rsidRPr="006044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варианты:</w:t>
      </w:r>
    </w:p>
    <w:p w:rsidR="0060444F" w:rsidRPr="0060444F" w:rsidRDefault="0060444F" w:rsidP="0060444F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suppressAutoHyphens/>
        <w:autoSpaceDE w:val="0"/>
        <w:spacing w:after="0" w:line="274" w:lineRule="exact"/>
        <w:ind w:left="5" w:right="5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водопроводных сетей, установка приборов учёта для потребителей </w:t>
      </w:r>
    </w:p>
    <w:p w:rsidR="0060444F" w:rsidRPr="0060444F" w:rsidRDefault="0060444F" w:rsidP="0060444F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suppressAutoHyphens/>
        <w:autoSpaceDE w:val="0"/>
        <w:spacing w:before="5" w:after="0" w:line="274" w:lineRule="exact"/>
        <w:ind w:left="5" w:right="1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уровень износа объектов коммунальной инфраструктуры с 99,8 % до 40%</w:t>
      </w:r>
    </w:p>
    <w:p w:rsidR="0060444F" w:rsidRPr="0060444F" w:rsidRDefault="0060444F" w:rsidP="0060444F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suppressAutoHyphens/>
        <w:autoSpaceDE w:val="0"/>
        <w:spacing w:after="0" w:line="274" w:lineRule="exact"/>
        <w:ind w:left="5" w:firstLine="69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переход на автономное водоснабжение для технических нужд за счёт финансиро</w:t>
      </w:r>
      <w:r w:rsidRPr="006044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вания бурения индивидуальных скважин.</w:t>
      </w:r>
    </w:p>
    <w:p w:rsidR="0060444F" w:rsidRPr="0060444F" w:rsidRDefault="0060444F" w:rsidP="0060444F">
      <w:pPr>
        <w:shd w:val="clear" w:color="auto" w:fill="FFFFFF"/>
        <w:spacing w:after="0" w:line="274" w:lineRule="exact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0444F" w:rsidRPr="0060444F" w:rsidRDefault="0060444F" w:rsidP="0060444F">
      <w:pPr>
        <w:shd w:val="clear" w:color="auto" w:fill="FFFFFF"/>
        <w:spacing w:after="0" w:line="278" w:lineRule="exact"/>
        <w:ind w:left="5" w:firstLine="71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разрабатывается проект планировки, проект межевания автомобильных дорог, на сегодня замежеваны 13 дорог в с.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Аларь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оформлены в 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готовятся документы по межеванию по другим населенным пунктам в конце марта 2016г, документы автомобильных дорог будут готовы и оформлены в собственность.  Ежегодно проводится ремонт дорог местного значения, поступают доходы от уплаты акцизов на ГСМ. Предусмотреть ограждение водонапорных башен, озеленить их, организация и проведение работ, направленных на снижение количества отходов на территории муниципального образования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экологического воспитания.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анализ существующего состояния установки приборов учета и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энергоресурсосбережения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потребителей. 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5. статьи 13 Федерального закона от 23.11.2009г.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собственники жилых домов, собственники помещений в многоквартирных домах, введенных в эксплуатацию на день вступления Закона № 261-ФЗ в силу, обязаны в срок до 1 января 2012 года обеспечить оснащение таких домов приборами учета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используемых воды,  тепловой энергии, электрической энергии, а также ввод установленных приборов учета в эксплуатацию. В с.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Аларь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2-ух квартирные и многоквартирные дома. При этом многоквартирные дома в указанный срок должны быть оснащены коллективными (общедомовыми) приборами учета используемых коммунальных ресурсов, а также индивидуальными и общими (для коммунальной квартиры) приборами учета. В настоящее время, приборы учета тепловой энергии у большей части потребителей отсутствуют. 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3.ПЕРСПЕКТИВЫ РАЗВИТИЯ МУНИЦИПАЛЬНОГО ОБРАЗОВАНИЯ И ПРОГНОЗ СПРОСА НА КОММУНАЛЬНЫЕ РЕСУРСЫ 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Определение перспективных показателей развития МО с учетом социально-экономических условий Динамика численности населения. По данным статистики, численность населения сельского поселения 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составила 2045 человек. В административном центре, селе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Аларь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проживает большая часть населения - 1462 </w:t>
      </w: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человек.  В последнее время численность населения сельского поселения сокращается. За последние 12 лет (с 2002 года) численность жителей МО «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Аларь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уменьшилась  на 8,9 %. Расчет прогноза численности населения 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 численности населения до 2025года, прогноз в соответствии с учетом Генерального плана развития МО «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Аларь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 минимальной оценке при сохранении тенденции смертности, рождаемости и миграции, как и в период с 2015 по 2018 годы, прогнозная численность населения составит 2811 чел. и уменьшится на 5 % по отношению к уровню численности на 2015 год. По максимальной оценке с учетом развития сельского поселения в соответствии с Генеральным планом предусматривается стабилизация численности населения. К 2018 году численность населения составит 2811 человек, к 2025 году – 3110человек. 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характеристики жилищных условий важен их количественный и качественный аспект. Количественная оценка позволяет определить уровень обеспеченности населения жилым фондом. Средняя обеспеченность жилым фондом – показатель, характеризующий качество жилищного строительства и темпы его развития. В рамках «Стратегии социально-экономического развития РФ до 2030 года», предусмотренная площадь жилья на одного человека будет составлять </w:t>
      </w:r>
      <w:smartTag w:uri="urn:schemas-microsoft-com:office:smarttags" w:element="metricconverter">
        <w:smartTagPr>
          <w:attr w:name="ProductID" w:val="28 м"/>
        </w:smartTagPr>
        <w:r w:rsidRPr="006044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28 </w:t>
        </w:r>
        <w:proofErr w:type="spellStart"/>
        <w:r w:rsidRPr="006044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</w:smartTag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.кв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Обеспеченность общей площадью жилого фонда на одного жителя, </w:t>
      </w:r>
      <w:smartTag w:uri="urn:schemas-microsoft-com:office:smarttags" w:element="metricconverter">
        <w:smartTagPr>
          <w:attr w:name="ProductID" w:val="23,4 м"/>
        </w:smartTagPr>
        <w:r w:rsidRPr="006044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23,4 </w:t>
        </w:r>
        <w:proofErr w:type="spellStart"/>
        <w:r w:rsidRPr="006044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</w:smartTag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.кв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Деревянные дома более 70%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износа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,ж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илая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застройка предполагает увеличение существующего показателя заселения с 23,4кв.м на человека до 31кв.м общей площади на человека. 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ЦЕЛЕВЫЕ ПОКАЗАТЕЛИ РАЗВИТИЯ КОММУНАЛЬНОЙ ИНФРАСТРУКТУРЫ Результаты Программы комплексного развития систем коммунальной инфраструктуры  определяются с помощью целевых индикаторов. Для мониторинга 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комплексного развития систем коммунальной инфраструктуры сельского поселения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для оценки финансово-экономического и технического состояния организаций Надежность обслуживания систем водоснабжения и водоотведения Повышение надежности работы системы водоснабжения и водоотведения в соответствии с нормативными требованиями Количество аварий и повреждений на </w:t>
      </w:r>
      <w:smartTag w:uri="urn:schemas-microsoft-com:office:smarttags" w:element="metricconverter">
        <w:smartTagPr>
          <w:attr w:name="ProductID" w:val="1 км"/>
        </w:smartTagPr>
        <w:r w:rsidRPr="006044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км</w:t>
        </w:r>
      </w:smartTag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в год. Износ коммунальных систем, протяженность сетей, нуждающихся в замене. Доля ежегодно заменяемых сетей, уровень потерь и неучтенных расходов воды. 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 Сбалансированность систем водоснабжения и водоотведения. Обеспечение услугами водоснабжения и водоотведения новых объектов капитального строительства социального или промышленного назначения .Уровень использования производственных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мощностей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дефицита мощности (уровень очистки воды, уровень очистки стоков). Обеспеченность потребителей приборами учета 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 Ресурсная эффективность водоснабжения и водоотведения. Повышение эффективности работы систем водоснабжения и водоотведения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расход электроэнергии .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3.Электроснабжение 3.1 Технические показатели 3.1.1 Надежность обслуживания систем электроснабжения Повышение надежности работы системы электроснабжения в соответствии с нормативными требованиями Количество аварий и повреждений на </w:t>
      </w:r>
      <w:smartTag w:uri="urn:schemas-microsoft-com:office:smarttags" w:element="metricconverter">
        <w:smartTagPr>
          <w:attr w:name="ProductID" w:val="1 км"/>
        </w:smartTagPr>
        <w:r w:rsidRPr="006044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км</w:t>
        </w:r>
      </w:smartTag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в год Износ коммунальных систем Протяженность сетей, нуждающихся в замене Доля ежегодно заменяемых сетей Уровень потерь электрической энергии 3.1.2 Сбалансированность систем электроснабжения Обеспечение услугами электроснабжения новых объектов капитального строительства социального или промышленного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Уровень использования производственных мощностей. Обеспеченность потребителей приборами учета. 3.1.3 Ресурсная эффективность электроснабжения. Повышение эффективности работы систем электроснабжения. Контроль и анализ этого параметра позволяет определить качество обслуживания, оценить достаточность усилий по реконструкции систем. С учетом этой оценки определяется необходимый и достаточный уровень модернизации основных фондов, замены изношенных сетей и оборудования. 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может быть определена потребность и оценена фактическая обеспеченность </w:t>
      </w: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средствами на ремонт и модернизацию основных фондов в коммунальном определяется исходя из данных организации, оказывающей услуги в сфере водоотведения.</w:t>
      </w:r>
      <w:proofErr w:type="gramEnd"/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5.ПРОГРАММА ИНВЕСТИЦИОННЫХ ПРОЕКТОВ, ОБЕСПЕЧИВАЮЩИХ ДОСТИЖЕНИЕ ЦЕЛЕВЫХ ПОКАЗАТЕЛЕЙ. </w:t>
      </w:r>
    </w:p>
    <w:p w:rsidR="0060444F" w:rsidRPr="0060444F" w:rsidRDefault="0060444F" w:rsidP="0060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Программа инвестиционных проектов в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водоснабжении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енеральным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развития сельского поселения  предусматривается дальнейшее развитие централизованной системы водоснабжения. Система водоснабжения принимается централизованная, объединенная хозяйственно-питьевая, противопожарная низкого давления с тушением пожаров с помощью автонасосов из пожарных гидрантов. Для водоснабжения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предусматривается новая жилая застройка, планируется строительство новых разводящих водопроводных сетей. 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Существующая и планируемая застройка будет по прежнему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запитываться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существующих водозаборных сооружений и ВНС, при этом часть существующих водопроводных сетей для обеспечения надежной работы системы водоснабжения  должны быть заменены на новые, как исчерпавшие свой срок службы и имеющие значительный износ.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воды, необходимое селу на перспективу в соответствии с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r w:rsidRPr="0060444F">
        <w:rPr>
          <w:rFonts w:ascii="Tahoma" w:eastAsia="Times New Roman" w:hAnsi="Tahoma" w:cs="Tahoma"/>
          <w:sz w:val="24"/>
          <w:szCs w:val="24"/>
          <w:lang w:eastAsia="ru-RU"/>
        </w:rPr>
        <w:t>ѐ</w:t>
      </w: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1026,53 м3/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увеличения надежности снабжения холодной водой потребителей необходимо предусмотреть изменение существующей схемы водоснабжения путем ее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закольцовывания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демонтажа части участков водопроводной сети и строительства новых участков. Перспективная схема системы водоснабжения выполнена таким образом, что строительство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444F">
        <w:rPr>
          <w:rFonts w:ascii="Tahoma" w:eastAsia="Times New Roman" w:hAnsi="Tahoma" w:cs="Tahoma"/>
          <w:sz w:val="24"/>
          <w:szCs w:val="24"/>
          <w:lang w:eastAsia="ru-RU"/>
        </w:rPr>
        <w:t>ѐ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вестись постепенно и поэтапно. Одним из необходимых вопросов является решение о строительстве автоматизированной системы управления объектами водоснабжения. Необходимо предусматривать установку в жилой застройке приборов индивидуального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60444F">
        <w:rPr>
          <w:rFonts w:ascii="Tahoma" w:eastAsia="Times New Roman" w:hAnsi="Tahoma" w:cs="Tahoma"/>
          <w:sz w:val="24"/>
          <w:szCs w:val="24"/>
          <w:lang w:eastAsia="ru-RU"/>
        </w:rPr>
        <w:t>ѐ</w:t>
      </w: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борудовать установки для очистки воды, поступающей потребителям, что позволит повысить качество питьевой воды и привести ее показатели к требуемым нормативам. Жилые дома в населенных пунктах сельского поселения оборудуются внутренним водопроводом и канализацией и местными водонагревателями. Хозяйственно-питьевые расходы воды определены по удельным среднесуточным нормам водопотребления в соответствии со СНиП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суточной неравномерности принимается равным 1,3. Расходы воды на поливку улиц и зеленых насаждений определены по норме 50 л/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/чел. Неучтенные расходы приняты в размере 20 % от расхода воды на нужды населения. К 2025 году ожидаемое потребление в МО «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Аларь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составит 145,66 тыс.м3/год, Пожарные расходы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воды,расходы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для нужд наружного пожаротушения населенных пунктов сельского поселения принимаются в соответствии со СНиП . Хранение противопожарного запаса намечается в резервуарах при водопроводной насосной станции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водоснабжения с.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Аларь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бесперебойной подачи воды при дальнейшем развитии жилищного строительства необходима реконструкция водопроводных сооружений, достройка сетей водопровода, а также реконструкция и перекладка существующих сетей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предлагается строительство колодцев с гидрантами не реже, чем через 100 - </w:t>
      </w:r>
      <w:smartTag w:uri="urn:schemas-microsoft-com:office:smarttags" w:element="metricconverter">
        <w:smartTagPr>
          <w:attr w:name="ProductID" w:val="150 м"/>
        </w:smartTagPr>
        <w:r w:rsidRPr="006044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 м</w:t>
        </w:r>
      </w:smartTag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друга. Тупиковые участки должны закольцовываться. В связи со значительным износом сетей, необходимо выполнить постепенную их замену и перекладку. Предусматривается следующая схема, при которой хозяйственно-бытовая сеть прокладывается для отведения стоков от жилой и общественной застройки и предприятий. Централизованная система канализации предусматривается для новой застройки, коммунально-бытовых и общественных зданий, а также для существующей застройки, для которой предусмотрено централизованное водоснабжение. </w:t>
      </w:r>
    </w:p>
    <w:p w:rsidR="00394DAB" w:rsidRPr="00394DAB" w:rsidRDefault="0060444F" w:rsidP="00604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инвестиционных проектов в захоронение и утилизацию ТБО Организация сбора и вывоза твердых бытовых отходов Объектами санитарной очистки являются территории домовладений, уличные и микрорайонные проезды, объекты общественного назначения, территории предприятий, учреждений и организаций, объекты садово-</w:t>
      </w: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паркового хозяйства, места общественного пользования, места отдыха населения. Специфическими объектами, обслуживаемыми отдельно от остальных, считаются медицинские учреждения, ветеринарные объекты. Система сбора и удаления бытовых отходов включает в себя: - подготовку отходов к погрузке в собирающий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мусоровозный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транспорт; - организацию временного хранения отходов в домовладениях; - сбор и вывоз бытовых отходов с территорий домовладений и организаций; 92 - обезвреживание и утилизацию бытовых отходов. При использовании рекомендуемой для поселения контейнерной системы сбора отходов выделяют сменяемые и несменяемые контейнеры. 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той или иной системы определяется рядом факторов: удаленностью мест разгрузки мусоровозов, санитарно-эпидемиологическими условиями, периодичностью санитарной обработки сборников отходов и возможностью их обработки непосредственно в домовладениях, типом и количеством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спецавтотранспорта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вывоза отходов, Вывоз отходов, образующихся при проведении строительных, ремонтных и реконструкционных работ в жилых и общественных зданиях, обеспечивается самими предприятиями в соответствии с настоящей Генеральной схемой санитарной очистки, утвержденной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улучшения экологического и санитарного состояния и решения комплекса работ по сбору и вывозу бытовых отходов и мусора, следует предусмотреть следующие мероприятия: Мероприятия на расчетный срок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схемы озеленения сельского поселения. Мероприятия на первую очередь - ввод в эксплуатацию установки для утилизации твердых бытовых отходов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свалки опасных отходов (металлических бочек с горюче- смазочными материалами), расположенной в границах населенного пункта - заключение договора со специализированной организацией на оказание услуг по сбору и обезвреживанию ртутьсодержащих отходов. - недопущение образования несанкционированных свалок. Программы могут осуществляться из двух основных групп источников: бюджетных и внебюджетных. Бюджетное финансирование указанных проектов осуществляется из бюджета Российской Федерации, бюджетов субъектов Российской Федерации и местных бюджетов в соответствии с Бюджетным кодексом РФ и другими нормативн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актами. 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деятельности, в том числе при реализации мероприятий по энергосбережению и повышению энергетической эффективности. Внебюджетное финансирование осуществляется за счет собственных средств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энергоснабжающих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энергосетевых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предприятий, состоящих из прибыли и амортизационных отчислений. В соответствии с действующим законодательством и по согласованию с органами тарифного регулирования в тарифы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энергоснабжающих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энергосетевых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может включаться инвестиционная составляющая, необходимая для реализации указанных выше мероприятий. Реализация мероприятий Программы будет осуществляться посредством следующих механизмов: 1. Инструментом реализации Программы являются инвестиционные и производственные программы организаций коммунального комплекса (в том числе в сферах электро-, тепл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газо-, водоснабжения, водоотведения, утилизации (захоронения) твердых бытовых отходов, газоснабжения). Одним из источников финансирования таких программ организаций коммунального комплекса являются тарифы, в том числе долгосрочные, надбавки к тарифам, инвестиционные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составляющие в тарифах, утвержденные с учетом их доступности для потребителей, а также Тариф на подключение (плата за подключение) к системе коммунальной инфраструктуры, получаемая от застройщиков. 2. При недоступности тарифов или надбавок частичное финансирование осуществляется за счет бюджетных источников и привлеченных средств, в </w:t>
      </w:r>
      <w:proofErr w:type="spell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заемных средств (кредит) и собственных капиталов инвестора. 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тарифов на товары (услуги) организаций коммунального комплекса в сферах электро-, тепло-, водоснабжения, водоотведения, утилизации (захоронения) твердых бытовых отходов, на долгосрочную перспективу, а также надбавок к тарифам (инвестиционных составляющих) должно сопровождаться </w:t>
      </w:r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заключением соглашения между, соответственно, администрацией сельского поселения  или Региональной службы по тарифам (электроснабжение, теплоснабжение) и организацией коммунального комплекса. 3.Основными функциями по реализации Программы являются: - реализация мероприятий Программы;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и уточнение перечня программных мероприятий и финансовых потребностей на их реализацию; - осуществление мероприятий в сфере информационного освещения и сопровождения реализации Программы; - организация оценки соответствия представленных инвестиционных программ организаций коммунального 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требованиям; - организационное, техническое и методическое содействие организациям, участвующим в реализации Программы; - сбор информации о ходе выполнения производственных и инвестиционных программ организаций в рамках проведения мониторинга Программы; - осуществление сбора информации о реализации. 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использовании финансовых средств; - обеспечение взаимодействия органов местного самоуправления, организаций коммунального комплекса, участвующих в реализации Программы; обеспечение взаимодействия органов местного самоуправления, Региональной службы по тарифам по вопросам по заключению на инвестиционные программы организаций коммунального комплекса, участвующих в реализации Программы; - мониторинг и анализ реализации Программы; - осуществление оценки эффективности Программы и расчет целевых показателей и индикаторов реализации Программы;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заключения об эффективности реализации Программы; - подготовка докладов о ходе реализации Программы и предложений о ее корректировке; - участие в разработке инвестиционных программ и подготовка проекта соглашения с организациями коммунального комплекса на реализацию инвестиционных программ; - организация и координация действий по созданию информационн</w:t>
      </w:r>
      <w:proofErr w:type="gramStart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0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расчетного комплекса коммунальной инфраструктуры. 4.Основными функциями финансового отдела по реализации Программы являются: - оценка эффективности использования финансовых средств; - вынесение заключения по вопросу возможности выделения бюджетных средств на реализацию Программы. 5. Контроль исполнения Программы осуществляется Главой администрации сельского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еления.</w:t>
      </w:r>
      <w:bookmarkStart w:id="0" w:name="_GoBack"/>
      <w:bookmarkEnd w:id="0"/>
    </w:p>
    <w:p w:rsidR="00394DAB" w:rsidRPr="00394DAB" w:rsidRDefault="00394DAB" w:rsidP="00394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AB" w:rsidRPr="00394DAB" w:rsidRDefault="00394DAB" w:rsidP="00394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AB" w:rsidRPr="00394DAB" w:rsidRDefault="00394DAB" w:rsidP="0039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7E" w:rsidRDefault="0008557E"/>
    <w:sectPr w:rsidR="0008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numFmt w:val="bullet"/>
      <w:lvlText w:val="■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F"/>
    <w:multiLevelType w:val="singleLevel"/>
    <w:tmpl w:val="0000000F"/>
    <w:lvl w:ilvl="0">
      <w:numFmt w:val="bullet"/>
      <w:lvlText w:val="-"/>
      <w:lvlJc w:val="left"/>
      <w:pPr>
        <w:tabs>
          <w:tab w:val="num" w:pos="197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3C705893"/>
    <w:multiLevelType w:val="hybridMultilevel"/>
    <w:tmpl w:val="34CE4D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B1"/>
    <w:rsid w:val="0008557E"/>
    <w:rsid w:val="00394DAB"/>
    <w:rsid w:val="005E6AB2"/>
    <w:rsid w:val="0060444F"/>
    <w:rsid w:val="009867B1"/>
    <w:rsid w:val="00E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4134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2016-04-13T05:41:00Z</cp:lastPrinted>
  <dcterms:created xsi:type="dcterms:W3CDTF">2016-04-13T05:30:00Z</dcterms:created>
  <dcterms:modified xsi:type="dcterms:W3CDTF">2016-04-13T05:52:00Z</dcterms:modified>
</cp:coreProperties>
</file>