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19.06.2019 Г № 17-П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РОССИЙСКАЯ ФЕДЕРАЦИЯ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ИРКУТСКАЯ ОБЛАСТЬ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АЛАРСКИЙ МУНИЦИПАЛЬНЫЙ РАЙОН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МУНИЦИПАЛЬНОЕ ОБРАЗОВАНИЕ «ЕГОРОВСК»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 w:eastAsia="Times New Roman" w:cs="Arial"/>
          <w:b/>
          <w:b/>
          <w:bCs/>
          <w:sz w:val="32"/>
          <w:szCs w:val="32"/>
        </w:rPr>
      </w:pPr>
      <w:r>
        <w:rPr>
          <w:rFonts w:eastAsia="Times New Roman" w:cs="Arial" w:ascii="Arial" w:hAnsi="Arial"/>
          <w:b/>
          <w:bCs/>
          <w:sz w:val="32"/>
          <w:szCs w:val="32"/>
        </w:rPr>
        <w:t>ОБ УТВЕРЖДЕНИИ ПРОЕКТА УСТРОЙСТВА ОБЩЕСТВЕННЫХ КЛАДБИЩ, РАСПОЛОЖЕННЫХ НА ТЕРРИТОРИИ МУНИЦИПАЛЬНОГО ОБРАЗОВАНИЯ «ЕГОРОВСК»</w:t>
      </w:r>
    </w:p>
    <w:p>
      <w:pPr>
        <w:pStyle w:val="NoSpacing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В соответствии с Федеральными законами от 12.01.1996 №8-ФЗ «О погребении и похоронном деле», 06.10.2003 №131-ФЗ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администрация муниципального образования «Егоровск»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Times New Roman" w:cs="Arial"/>
          <w:b/>
          <w:b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sz w:val="30"/>
          <w:szCs w:val="30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eastAsia="Times New Roman" w:cs="Arial"/>
          <w:b/>
          <w:b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sz w:val="30"/>
          <w:szCs w:val="30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1. Утвердить Проект устройства общественных кладбищ, расположенных на территории муниципального образования «Егоровск» (Приложение).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2. Настоящее постановление вступает в силу со дня обнародования в печатном средстве массовой информации «Егоровский вестник».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Глава муниципального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Образования «Егоровск»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Е.В.Ревтов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Spacing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Spacing"/>
        <w:jc w:val="right"/>
        <w:rPr>
          <w:rFonts w:eastAsia="Times New Roman"/>
        </w:rPr>
      </w:pPr>
      <w:r>
        <w:rPr>
          <w:rFonts w:eastAsia="Times New Roman"/>
        </w:rPr>
        <w:t>УТВЕРЖДЕН</w:t>
      </w:r>
    </w:p>
    <w:p>
      <w:pPr>
        <w:pStyle w:val="NoSpacing"/>
        <w:jc w:val="right"/>
        <w:rPr>
          <w:rFonts w:eastAsia="Times New Roman"/>
        </w:rPr>
      </w:pPr>
      <w:r>
        <w:rPr>
          <w:rFonts w:eastAsia="Times New Roman"/>
        </w:rPr>
        <w:t>постановлением администрации</w:t>
      </w:r>
    </w:p>
    <w:p>
      <w:pPr>
        <w:pStyle w:val="NoSpacing"/>
        <w:jc w:val="right"/>
        <w:rPr>
          <w:rFonts w:eastAsia="Times New Roman"/>
        </w:rPr>
      </w:pPr>
      <w:r>
        <w:rPr>
          <w:rFonts w:eastAsia="Times New Roman"/>
        </w:rPr>
        <w:t>муниципального образования»Егоровск»</w:t>
      </w:r>
    </w:p>
    <w:p>
      <w:pPr>
        <w:pStyle w:val="NoSpacing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>от  19.06.2019 г.№  17-п</w:t>
      </w:r>
    </w:p>
    <w:p>
      <w:pPr>
        <w:pStyle w:val="NoSpacing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>(Приложение)</w:t>
      </w:r>
    </w:p>
    <w:p>
      <w:pPr>
        <w:pStyle w:val="Normal"/>
        <w:spacing w:lineRule="auto" w:line="240" w:beforeAutospacing="1" w:afterAutospacing="1"/>
        <w:jc w:val="center"/>
        <w:rPr>
          <w:rFonts w:ascii="Courier New" w:hAnsi="Courier New" w:eastAsia="Times New Roman" w:cs="Courier New"/>
          <w:b/>
          <w:b/>
          <w:sz w:val="30"/>
          <w:szCs w:val="30"/>
          <w:lang w:eastAsia="ru-RU"/>
        </w:rPr>
      </w:pPr>
      <w:r>
        <w:rPr>
          <w:rFonts w:eastAsia="Times New Roman" w:cs="Courier New" w:ascii="Courier New" w:hAnsi="Courier New"/>
          <w:b/>
          <w:sz w:val="30"/>
          <w:szCs w:val="30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>ПРОЕКТ УСТРОЙСТВА ОБЩЕСТВЕННЫХ КЛАДБИЩ, РАСПОЛОЖЕННЫХ НА ТЕРРИТОРИИ МУНИЦИПАЛЬНОГО ОБРАЗОВАНИЯ «ЕГОРОВСК»</w:t>
      </w:r>
    </w:p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Паспорт Проекта</w:t>
      </w:r>
    </w:p>
    <w:tbl>
      <w:tblPr>
        <w:tblW w:w="9000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60" w:type="dxa"/>
          <w:left w:w="36" w:type="dxa"/>
          <w:bottom w:w="60" w:type="dxa"/>
          <w:right w:w="60" w:type="dxa"/>
        </w:tblCellMar>
        <w:tblLook w:val="04a0"/>
      </w:tblPr>
      <w:tblGrid>
        <w:gridCol w:w="2323"/>
        <w:gridCol w:w="6676"/>
      </w:tblGrid>
      <w:tr>
        <w:trPr/>
        <w:tc>
          <w:tcPr>
            <w:tcW w:w="23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b/>
                <w:bCs/>
                <w:lang w:eastAsia="ru-RU"/>
              </w:rPr>
              <w:t>Наименование Проекта:</w:t>
            </w:r>
          </w:p>
        </w:tc>
        <w:tc>
          <w:tcPr>
            <w:tcW w:w="6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Проект устройства общественных кладбищ, расположенных на территории муниципального образования «Егоровск»</w:t>
            </w:r>
          </w:p>
        </w:tc>
      </w:tr>
      <w:tr>
        <w:trPr/>
        <w:tc>
          <w:tcPr>
            <w:tcW w:w="23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b/>
                <w:bCs/>
                <w:lang w:eastAsia="ru-RU"/>
              </w:rPr>
              <w:t>Основание разработки Проекта:</w:t>
            </w:r>
          </w:p>
        </w:tc>
        <w:tc>
          <w:tcPr>
            <w:tcW w:w="6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Федеральный Закон № 8-ФЗ от 12.01.1996 «О погребении и похоронном деле»;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Постановление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Устав муниципального образования «Егоровск»</w:t>
            </w:r>
          </w:p>
        </w:tc>
      </w:tr>
      <w:tr>
        <w:trPr/>
        <w:tc>
          <w:tcPr>
            <w:tcW w:w="23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b/>
                <w:bCs/>
                <w:lang w:eastAsia="ru-RU"/>
              </w:rPr>
              <w:t>Заказчик Проекта:</w:t>
              <w:br/>
              <w:br/>
              <w:t>Разработчик Проекта:</w:t>
            </w:r>
          </w:p>
        </w:tc>
        <w:tc>
          <w:tcPr>
            <w:tcW w:w="6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Администрация муниципального образования «Егоровск»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Администрация муниципального образования «Егоровск»</w:t>
            </w:r>
          </w:p>
        </w:tc>
      </w:tr>
      <w:tr>
        <w:trPr/>
        <w:tc>
          <w:tcPr>
            <w:tcW w:w="23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b/>
                <w:bCs/>
                <w:lang w:eastAsia="ru-RU"/>
              </w:rPr>
              <w:t>Основная цель Проекта:</w:t>
            </w:r>
          </w:p>
        </w:tc>
        <w:tc>
          <w:tcPr>
            <w:tcW w:w="6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Реализация полномочий администрации муниципального образования «Егоровск» в части организации ритуальных услуг и содержания общественных кладбищ</w:t>
            </w:r>
          </w:p>
        </w:tc>
      </w:tr>
      <w:tr>
        <w:trPr/>
        <w:tc>
          <w:tcPr>
            <w:tcW w:w="23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b/>
                <w:bCs/>
                <w:lang w:eastAsia="ru-RU"/>
              </w:rPr>
              <w:t>Задачи Проекта:</w:t>
            </w:r>
          </w:p>
        </w:tc>
        <w:tc>
          <w:tcPr>
            <w:tcW w:w="6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 xml:space="preserve"> </w:t>
            </w:r>
            <w:r>
              <w:rPr>
                <w:rFonts w:eastAsia="Times New Roman" w:cs="Courier New" w:ascii="Courier New" w:hAnsi="Courier New"/>
                <w:lang w:eastAsia="ru-RU"/>
              </w:rPr>
              <w:t>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 xml:space="preserve"> </w:t>
            </w:r>
            <w:r>
              <w:rPr>
                <w:rFonts w:eastAsia="Times New Roman" w:cs="Courier New" w:ascii="Courier New" w:hAnsi="Courier New"/>
                <w:lang w:eastAsia="ru-RU"/>
              </w:rPr>
              <w:t>2. Выявить: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- соответствие имеющихся и функционирующих кладбищ   санитарно-эпидемиологическим правилам и нормативам – по размещению кладбища;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 xml:space="preserve"> </w:t>
            </w:r>
            <w:r>
              <w:rPr>
                <w:rFonts w:eastAsia="Times New Roman" w:cs="Courier New" w:ascii="Courier New" w:hAnsi="Courier New"/>
                <w:lang w:eastAsia="ru-RU"/>
              </w:rPr>
              <w:t>3. Определить мероприятия: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 xml:space="preserve"> </w:t>
            </w:r>
            <w:r>
              <w:rPr>
                <w:rFonts w:eastAsia="Times New Roman" w:cs="Courier New" w:ascii="Courier New" w:hAnsi="Courier New"/>
                <w:lang w:eastAsia="ru-RU"/>
              </w:rPr>
              <w:t>- по устройству имеющихся и функционирующих на территории поселения кладбищ;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 xml:space="preserve"> </w:t>
            </w:r>
            <w:r>
              <w:rPr>
                <w:rFonts w:eastAsia="Times New Roman" w:cs="Courier New" w:ascii="Courier New" w:hAnsi="Courier New"/>
                <w:lang w:eastAsia="ru-RU"/>
              </w:rPr>
              <w:t>- по обустройству новых территорий под общественные кладбища.</w:t>
            </w:r>
          </w:p>
        </w:tc>
      </w:tr>
      <w:tr>
        <w:trPr/>
        <w:tc>
          <w:tcPr>
            <w:tcW w:w="23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b/>
                <w:bCs/>
                <w:lang w:eastAsia="ru-RU"/>
              </w:rPr>
              <w:t>Сроки и этапы реализации Проекта:</w:t>
            </w:r>
          </w:p>
        </w:tc>
        <w:tc>
          <w:tcPr>
            <w:tcW w:w="6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Срок реализации проекта – 2019 – 2022 г.г.</w:t>
            </w:r>
          </w:p>
        </w:tc>
      </w:tr>
      <w:tr>
        <w:trPr/>
        <w:tc>
          <w:tcPr>
            <w:tcW w:w="23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b/>
                <w:bCs/>
                <w:lang w:eastAsia="ru-RU"/>
              </w:rPr>
              <w:t>Основные исполнители Проекта:</w:t>
            </w:r>
          </w:p>
        </w:tc>
        <w:tc>
          <w:tcPr>
            <w:tcW w:w="6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- Администрация муниципального образования «Егоровск»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- общественные организации, действующие на территории сельского поселения ;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- население поселения.</w:t>
            </w:r>
          </w:p>
        </w:tc>
      </w:tr>
      <w:tr>
        <w:trPr/>
        <w:tc>
          <w:tcPr>
            <w:tcW w:w="23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b/>
                <w:bCs/>
                <w:lang w:eastAsia="ru-RU"/>
              </w:rPr>
              <w:t>Источники финансирования Проекта</w:t>
            </w:r>
          </w:p>
        </w:tc>
        <w:tc>
          <w:tcPr>
            <w:tcW w:w="66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numPr>
          <w:ilvl w:val="0"/>
          <w:numId w:val="2"/>
        </w:numPr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Введение</w:t>
      </w:r>
    </w:p>
    <w:p>
      <w:pPr>
        <w:pStyle w:val="NoSpacing"/>
        <w:ind w:left="720" w:hanging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spacing w:lineRule="auto" w:line="276"/>
        <w:ind w:firstLine="709"/>
        <w:jc w:val="both"/>
        <w:rPr>
          <w:rFonts w:ascii="Arial" w:hAnsi="Arial" w:eastAsia="Times New Roman" w:cs="Arial"/>
          <w:bC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Потребность в разработке </w:t>
      </w:r>
      <w:r>
        <w:rPr>
          <w:rFonts w:eastAsia="Times New Roman" w:cs="Arial" w:ascii="Arial" w:hAnsi="Arial"/>
          <w:bCs/>
          <w:sz w:val="24"/>
          <w:szCs w:val="24"/>
        </w:rPr>
        <w:t xml:space="preserve">Проекта устройства общественных кладбищ, расположенных на территории </w:t>
      </w:r>
      <w:r>
        <w:rPr>
          <w:rFonts w:eastAsia="Times New Roman" w:cs="Arial" w:ascii="Arial" w:hAnsi="Arial"/>
          <w:sz w:val="24"/>
          <w:szCs w:val="24"/>
        </w:rPr>
        <w:t xml:space="preserve"> муниципального образования «Егоровск»</w:t>
      </w:r>
      <w:r>
        <w:rPr>
          <w:rFonts w:eastAsia="Times New Roman" w:cs="Arial" w:ascii="Arial" w:hAnsi="Arial"/>
          <w:bCs/>
          <w:sz w:val="24"/>
          <w:szCs w:val="24"/>
        </w:rPr>
        <w:t xml:space="preserve">(далее – Проект) </w:t>
      </w:r>
      <w:r>
        <w:rPr>
          <w:rFonts w:eastAsia="Times New Roman" w:cs="Arial" w:ascii="Arial" w:hAnsi="Arial"/>
          <w:sz w:val="24"/>
          <w:szCs w:val="24"/>
        </w:rPr>
        <w:t xml:space="preserve">обусловлена необходимостью реализации закона № 131-ФЗ от 06.10.2003 «Об общих принципах организации местного самоуправления в Российской Федерации», Федерального закона от 12.01.1996 №8-ФЗ «О погребении и похоронном деле». </w:t>
      </w:r>
    </w:p>
    <w:p>
      <w:pPr>
        <w:pStyle w:val="NoSpacing"/>
        <w:spacing w:lineRule="auto" w:line="276"/>
        <w:ind w:firstLine="709"/>
        <w:jc w:val="both"/>
        <w:rPr>
          <w:rFonts w:ascii="Arial" w:hAnsi="Arial" w:eastAsia="Times New Roman" w:cs="Arial"/>
          <w:color w:val="FF0000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Проект содержит чёткое представление о целях, ресурсах, потенциале и об основных направлениях устройства общественных кладбищ на настоящее время, а также на среднесрочную перспективу. </w:t>
      </w:r>
    </w:p>
    <w:p>
      <w:pPr>
        <w:pStyle w:val="NoSpacing"/>
        <w:spacing w:lineRule="auto" w:line="276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Цели развития поселения и проектные мероприятия, а также необходимые для их реализации ресурсы, обозначенные в Проекте,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>
      <w:pPr>
        <w:pStyle w:val="NoSpacing"/>
        <w:rPr>
          <w:rFonts w:ascii="Arial" w:hAnsi="Arial" w:eastAsia="Times New Roman" w:cs="Arial"/>
          <w:b/>
          <w:b/>
          <w:bCs/>
          <w:color w:val="FF0000"/>
          <w:kern w:val="2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FF0000"/>
          <w:kern w:val="2"/>
          <w:sz w:val="24"/>
          <w:szCs w:val="24"/>
        </w:rPr>
      </w:r>
    </w:p>
    <w:p>
      <w:pPr>
        <w:pStyle w:val="NoSpacing"/>
        <w:numPr>
          <w:ilvl w:val="0"/>
          <w:numId w:val="2"/>
        </w:numPr>
        <w:spacing w:lineRule="auto" w:line="276"/>
        <w:jc w:val="center"/>
        <w:rPr>
          <w:rFonts w:ascii="Arial" w:hAnsi="Arial" w:eastAsia="Times New Roman" w:cs="Arial"/>
          <w:b/>
          <w:b/>
          <w:bCs/>
          <w:kern w:val="2"/>
          <w:sz w:val="24"/>
          <w:szCs w:val="24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</w:rPr>
        <w:t xml:space="preserve">Выявление обеспеченности поселения в имеющихся и </w:t>
      </w:r>
    </w:p>
    <w:p>
      <w:pPr>
        <w:pStyle w:val="NoSpacing"/>
        <w:spacing w:lineRule="auto" w:line="276"/>
        <w:ind w:left="720" w:hanging="0"/>
        <w:jc w:val="center"/>
        <w:rPr>
          <w:rFonts w:ascii="Arial" w:hAnsi="Arial" w:eastAsia="Times New Roman" w:cs="Arial"/>
          <w:b/>
          <w:b/>
          <w:bCs/>
          <w:kern w:val="2"/>
          <w:sz w:val="24"/>
          <w:szCs w:val="24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</w:rPr>
        <w:t>функционирующих на территории поселения</w:t>
      </w:r>
    </w:p>
    <w:p>
      <w:pPr>
        <w:pStyle w:val="NoSpacing"/>
        <w:spacing w:lineRule="auto" w:line="276"/>
        <w:ind w:left="720" w:hanging="0"/>
        <w:jc w:val="center"/>
        <w:rPr>
          <w:rFonts w:ascii="Arial" w:hAnsi="Arial" w:eastAsia="Times New Roman" w:cs="Arial"/>
          <w:b/>
          <w:b/>
          <w:bCs/>
          <w:kern w:val="2"/>
          <w:sz w:val="24"/>
          <w:szCs w:val="24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</w:rPr>
        <w:t>общественных кладбищах</w:t>
      </w:r>
    </w:p>
    <w:p>
      <w:pPr>
        <w:pStyle w:val="NoSpacing"/>
        <w:spacing w:lineRule="auto" w:line="276"/>
        <w:jc w:val="center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>2.1. Административное деление</w:t>
      </w:r>
    </w:p>
    <w:p>
      <w:pPr>
        <w:pStyle w:val="NoSpacing"/>
        <w:spacing w:lineRule="auto" w:line="276"/>
        <w:ind w:firstLine="709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bookmarkStart w:id="0" w:name="_Toc125547917"/>
      <w:bookmarkStart w:id="1" w:name="_Toc132716903"/>
      <w:bookmarkEnd w:id="0"/>
      <w:bookmarkEnd w:id="1"/>
      <w:r>
        <w:rPr>
          <w:rFonts w:eastAsia="Times New Roman" w:cs="Arial" w:ascii="Arial" w:hAnsi="Arial"/>
          <w:sz w:val="24"/>
          <w:szCs w:val="24"/>
        </w:rPr>
        <w:t>В состав муниципального образования «Егоровск» (далее – Поселение) входят кроме административного центра – деревня Егоровская – два населенных пункта: деревня Кербулак, деревня Хуруй. Расстояние от д. Егоровская  до районного центра, п. Кутулик - 30 км, до столицы региона, г. Иркутск, - 230 км.</w:t>
      </w:r>
    </w:p>
    <w:p>
      <w:pPr>
        <w:pStyle w:val="NoSpacing"/>
        <w:spacing w:lineRule="auto" w:line="276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Общая площадь Поселения составляет 11704 га. Численность населения по данным на 01.01.2019 года составила  562 человек, в том числе: д. Егоровская – 349 человек, д. Кербулак– 108 человека, д. Хуруй – 105 человек.</w:t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2.2.Наличие общественных кладбищ, сложившееся осуществление захоронений.</w:t>
      </w:r>
    </w:p>
    <w:p>
      <w:pPr>
        <w:pStyle w:val="NoSpacing"/>
        <w:spacing w:lineRule="auto" w:line="276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На территории Поселения захоронения осуществляются:</w:t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умерших граждан, проживавших в д. Егоровская– на существующем кладбище традиционного типа в д. Егоровская площадью 1,0 га;</w:t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умерших граждан, проживавших в д. Кербулак – на существующем кладбище традиционного типа  д. Кербулак площадью 1,0 га.</w:t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умерших граждан, проживавших в д. Хуруй – на существующем кладбище традиционного типа  д. Хуруй площадью 1,0 га.</w:t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- </w:t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tabs>
          <w:tab w:val="left" w:pos="284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2.3. Расчет общественных кладбищ на расчетный срок</w:t>
      </w:r>
    </w:p>
    <w:p>
      <w:pPr>
        <w:pStyle w:val="Headertext"/>
        <w:shd w:val="clear" w:color="auto" w:fill="FFFFFF"/>
        <w:spacing w:lineRule="atLeast" w:line="288" w:beforeAutospacing="0" w:before="0" w:afterAutospacing="0" w:after="0"/>
        <w:jc w:val="both"/>
        <w:textAlignment w:val="baseline"/>
        <w:rPr>
          <w:rFonts w:ascii="Arial" w:hAnsi="Arial" w:cs="Arial"/>
          <w:spacing w:val="2"/>
        </w:rPr>
      </w:pPr>
      <w:r>
        <w:rPr>
          <w:rFonts w:cs="Arial" w:ascii="Arial" w:hAnsi="Arial"/>
          <w:spacing w:val="2"/>
        </w:rPr>
        <w:t>(расчет произведен в соответствии с постановлением Правительства Иркутской области от 30 декабря 2014 года N 712-пп «Об утверждении региональных нормативов градостроительного проектирования Иркутской области»)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62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59"/>
        <w:gridCol w:w="1727"/>
        <w:gridCol w:w="1134"/>
        <w:gridCol w:w="2757"/>
        <w:gridCol w:w="1247"/>
        <w:gridCol w:w="850"/>
        <w:gridCol w:w="1351"/>
      </w:tblGrid>
      <w:tr>
        <w:trPr>
          <w:tblHeader w:val="true"/>
          <w:trHeight w:val="20" w:hRule="atLeast"/>
        </w:trPr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 xml:space="preserve">№ </w:t>
            </w:r>
            <w:r>
              <w:rPr>
                <w:rFonts w:eastAsia="Times New Roman" w:cs="Courier New" w:ascii="Courier New" w:hAnsi="Courier New"/>
              </w:rPr>
              <w:t>пп</w:t>
            </w:r>
          </w:p>
        </w:tc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Единица измерения</w:t>
            </w:r>
          </w:p>
        </w:tc>
        <w:tc>
          <w:tcPr>
            <w:tcW w:w="2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89" w:hanging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 xml:space="preserve">Принятые нормативы 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 </w:t>
            </w:r>
            <w:r>
              <w:rPr>
                <w:rFonts w:eastAsia="Times New Roman" w:cs="Courier New" w:ascii="Courier New" w:hAnsi="Courier New"/>
              </w:rPr>
              <w:t xml:space="preserve">Норма-тивная потреб-ность (га) 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В том числе:</w:t>
            </w:r>
          </w:p>
        </w:tc>
      </w:tr>
      <w:tr>
        <w:trPr>
          <w:tblHeader w:val="true"/>
          <w:trHeight w:val="1405" w:hRule="atLeast"/>
        </w:trPr>
        <w:tc>
          <w:tcPr>
            <w:tcW w:w="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</w:tc>
        <w:tc>
          <w:tcPr>
            <w:tcW w:w="17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</w:tc>
        <w:tc>
          <w:tcPr>
            <w:tcW w:w="2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Существующая ситуация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требуется запроек-тировать</w:t>
            </w:r>
          </w:p>
        </w:tc>
      </w:tr>
      <w:tr>
        <w:trPr>
          <w:trHeight w:val="20" w:hRule="atLeast"/>
        </w:trPr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га</w:t>
            </w:r>
          </w:p>
        </w:tc>
        <w:tc>
          <w:tcPr>
            <w:tcW w:w="2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0,24 га на 1 тыс. жителей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ar-SA"/>
              </w:rPr>
            </w:pPr>
            <w:r>
              <w:rPr>
                <w:rFonts w:eastAsia="Times New Roman" w:cs="Courier New" w:ascii="Courier New" w:hAnsi="Courier New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ar-SA"/>
              </w:rPr>
            </w:pPr>
            <w:r>
              <w:rPr>
                <w:rFonts w:eastAsia="Times New Roman" w:cs="Courier New" w:ascii="Courier New" w:hAnsi="Courier New"/>
                <w:lang w:eastAsia="ar-SA"/>
              </w:rPr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ar-SA"/>
              </w:rPr>
            </w:pPr>
            <w:r>
              <w:rPr>
                <w:rFonts w:eastAsia="Times New Roman" w:cs="Courier New" w:ascii="Courier New" w:hAnsi="Courier New"/>
                <w:lang w:eastAsia="ar-SA"/>
              </w:rPr>
            </w:r>
          </w:p>
        </w:tc>
      </w:tr>
      <w:tr>
        <w:trPr>
          <w:trHeight w:val="20" w:hRule="atLeast"/>
        </w:trPr>
        <w:tc>
          <w:tcPr>
            <w:tcW w:w="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Егоровская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га</w:t>
            </w:r>
          </w:p>
        </w:tc>
        <w:tc>
          <w:tcPr>
            <w:tcW w:w="2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ar-SA"/>
              </w:rPr>
            </w:pPr>
            <w:r>
              <w:rPr>
                <w:rFonts w:eastAsia="Times New Roman" w:cs="Courier New" w:ascii="Courier New" w:hAnsi="Courier New"/>
                <w:lang w:val="en-US" w:eastAsia="ar-SA"/>
              </w:rPr>
              <w:t>0</w:t>
            </w:r>
            <w:r>
              <w:rPr>
                <w:rFonts w:eastAsia="Times New Roman" w:cs="Courier New" w:ascii="Courier New" w:hAnsi="Courier New"/>
                <w:lang w:eastAsia="ar-SA"/>
              </w:rPr>
              <w:t xml:space="preserve">,349 тыс.чел. х 0,24 га = </w:t>
            </w:r>
            <w:r>
              <w:rPr>
                <w:rFonts w:eastAsia="Times New Roman" w:cs="Courier New" w:ascii="Courier New" w:hAnsi="Courier New"/>
                <w:b/>
                <w:lang w:eastAsia="ar-SA"/>
              </w:rPr>
              <w:t>0,084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ar-SA"/>
              </w:rPr>
            </w:pPr>
            <w:r>
              <w:rPr>
                <w:rFonts w:eastAsia="Times New Roman" w:cs="Courier New" w:ascii="Courier New" w:hAnsi="Courier New"/>
                <w:lang w:eastAsia="ar-SA"/>
              </w:rPr>
              <w:t>1,0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ar-SA"/>
              </w:rPr>
            </w:pPr>
            <w:r>
              <w:rPr>
                <w:rFonts w:eastAsia="Times New Roman" w:cs="Courier New" w:ascii="Courier New" w:hAnsi="Courier New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Кербулак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га</w:t>
            </w:r>
          </w:p>
        </w:tc>
        <w:tc>
          <w:tcPr>
            <w:tcW w:w="275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ar-SA"/>
              </w:rPr>
            </w:pPr>
            <w:r>
              <w:rPr>
                <w:rFonts w:eastAsia="Times New Roman" w:cs="Courier New" w:ascii="Courier New" w:hAnsi="Courier New"/>
                <w:lang w:eastAsia="ar-SA"/>
              </w:rPr>
              <w:t xml:space="preserve">0,108 . х 0,24 = </w:t>
            </w:r>
            <w:r>
              <w:rPr>
                <w:rFonts w:eastAsia="Times New Roman" w:cs="Courier New" w:ascii="Courier New" w:hAnsi="Courier New"/>
                <w:b/>
                <w:lang w:eastAsia="ar-SA"/>
              </w:rPr>
              <w:t>0,026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ar-SA"/>
              </w:rPr>
            </w:pPr>
            <w:r>
              <w:rPr>
                <w:rFonts w:eastAsia="Times New Roman" w:cs="Courier New" w:ascii="Courier New" w:hAnsi="Courier New"/>
                <w:lang w:eastAsia="ar-SA"/>
              </w:rPr>
              <w:t>1,0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ar-SA"/>
              </w:rPr>
            </w:pPr>
            <w:r>
              <w:rPr>
                <w:rFonts w:eastAsia="Times New Roman" w:cs="Courier New" w:ascii="Courier New" w:hAnsi="Courier New"/>
                <w:lang w:eastAsia="ar-SA"/>
              </w:rPr>
              <w:t>0</w:t>
            </w:r>
          </w:p>
        </w:tc>
      </w:tr>
      <w:tr>
        <w:trPr>
          <w:trHeight w:val="20" w:hRule="atLeast"/>
        </w:trPr>
        <w:tc>
          <w:tcPr>
            <w:tcW w:w="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Хуруй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га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ar-SA"/>
              </w:rPr>
            </w:pPr>
            <w:r>
              <w:rPr>
                <w:rFonts w:eastAsia="Times New Roman" w:cs="Courier New" w:ascii="Courier New" w:hAnsi="Courier New"/>
                <w:lang w:val="en-US" w:eastAsia="ar-SA"/>
              </w:rPr>
              <w:t>0</w:t>
            </w:r>
            <w:r>
              <w:rPr>
                <w:rFonts w:eastAsia="Times New Roman" w:cs="Courier New" w:ascii="Courier New" w:hAnsi="Courier New"/>
                <w:lang w:eastAsia="ar-SA"/>
              </w:rPr>
              <w:t xml:space="preserve">,105. х 0,24 га = </w:t>
            </w:r>
            <w:r>
              <w:rPr>
                <w:rFonts w:eastAsia="Times New Roman" w:cs="Courier New" w:ascii="Courier New" w:hAnsi="Courier New"/>
                <w:b/>
                <w:lang w:eastAsia="ar-SA"/>
              </w:rPr>
              <w:t>0,026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ourier New" w:hAnsi="Courier New" w:eastAsia="Times New Roman" w:cs="Courier New"/>
                <w:lang w:eastAsia="ar-SA"/>
              </w:rPr>
            </w:pPr>
            <w:r>
              <w:rPr>
                <w:rFonts w:eastAsia="Times New Roman" w:cs="Courier New" w:ascii="Courier New" w:hAnsi="Courier New"/>
                <w:lang w:eastAsia="ar-SA"/>
              </w:rPr>
              <w:t>1,0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ar-SA"/>
              </w:rPr>
            </w:pPr>
            <w:r>
              <w:rPr>
                <w:rFonts w:eastAsia="Times New Roman" w:cs="Courier New" w:ascii="Courier New" w:hAnsi="Courier New"/>
                <w:lang w:eastAsia="ar-SA"/>
              </w:rPr>
              <w:t>0</w:t>
            </w:r>
          </w:p>
        </w:tc>
      </w:tr>
    </w:tbl>
    <w:p>
      <w:pPr>
        <w:pStyle w:val="NoSpacing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Spacing"/>
        <w:jc w:val="both"/>
        <w:rPr>
          <w:rFonts w:ascii="Arial" w:hAnsi="Arial" w:eastAsia="Times New Roman" w:cs="Arial"/>
          <w:b/>
          <w:b/>
          <w:bCs/>
          <w:kern w:val="2"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2.4.</w:t>
      </w:r>
      <w:r>
        <w:rPr>
          <w:rFonts w:eastAsia="Times New Roman" w:cs="Arial" w:ascii="Arial" w:hAnsi="Arial"/>
          <w:b/>
          <w:bCs/>
          <w:kern w:val="2"/>
          <w:sz w:val="24"/>
          <w:szCs w:val="24"/>
        </w:rPr>
        <w:t xml:space="preserve"> Обеспеченность Поселения в имеющихся и функционирующих на территории поселения общественных кладбищах</w:t>
      </w:r>
    </w:p>
    <w:p>
      <w:pPr>
        <w:pStyle w:val="NoSpacing"/>
        <w:ind w:firstLine="709"/>
        <w:jc w:val="both"/>
        <w:rPr>
          <w:rFonts w:ascii="Arial" w:hAnsi="Arial" w:eastAsia="Times New Roman" w:cs="Arial"/>
          <w:bCs/>
          <w:kern w:val="2"/>
          <w:sz w:val="24"/>
          <w:szCs w:val="24"/>
        </w:rPr>
      </w:pPr>
      <w:r>
        <w:rPr>
          <w:rFonts w:eastAsia="Times New Roman" w:cs="Arial" w:ascii="Arial" w:hAnsi="Arial"/>
          <w:bCs/>
          <w:kern w:val="2"/>
          <w:sz w:val="24"/>
          <w:szCs w:val="24"/>
        </w:rPr>
        <w:t xml:space="preserve">Из расчета выявлено, что в обоих населенных пунктах муниципального образования, площадь существующих кладбищ многократно превышает нормативную, поэтому нет необходимости изыскивать дополнительную территорию для обустройства новых кладбищ. </w:t>
      </w:r>
    </w:p>
    <w:p>
      <w:pPr>
        <w:pStyle w:val="NoSpacing"/>
        <w:jc w:val="both"/>
        <w:rPr>
          <w:rFonts w:ascii="Arial" w:hAnsi="Arial" w:eastAsia="Times New Roman" w:cs="Arial"/>
          <w:bCs/>
          <w:kern w:val="2"/>
          <w:sz w:val="24"/>
          <w:szCs w:val="24"/>
        </w:rPr>
      </w:pPr>
      <w:r>
        <w:rPr>
          <w:rFonts w:eastAsia="Times New Roman" w:cs="Arial" w:ascii="Arial" w:hAnsi="Arial"/>
          <w:bCs/>
          <w:kern w:val="2"/>
          <w:sz w:val="24"/>
          <w:szCs w:val="24"/>
        </w:rPr>
        <w:t>Выводы:</w:t>
      </w:r>
    </w:p>
    <w:p>
      <w:pPr>
        <w:pStyle w:val="NoSpacing"/>
        <w:jc w:val="both"/>
        <w:rPr>
          <w:rFonts w:ascii="Arial" w:hAnsi="Arial" w:eastAsia="Times New Roman" w:cs="Arial"/>
          <w:bCs/>
          <w:kern w:val="2"/>
          <w:sz w:val="24"/>
          <w:szCs w:val="24"/>
        </w:rPr>
      </w:pPr>
      <w:r>
        <w:rPr>
          <w:rFonts w:eastAsia="Times New Roman" w:cs="Arial" w:ascii="Arial" w:hAnsi="Arial"/>
          <w:bCs/>
          <w:kern w:val="2"/>
          <w:sz w:val="24"/>
          <w:szCs w:val="24"/>
        </w:rPr>
        <w:t>1. Мероприятия по обустройству новых территорий под общественные кладбища не планируются.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2. Необходимо выявить соответствие имеющихся и функционирующих кладбищ Поселения   санитарно-эпидемиологическим правилам и нормативам, </w:t>
      </w:r>
      <w:r>
        <w:rPr>
          <w:rFonts w:cs="Arial" w:ascii="Arial" w:hAnsi="Arial"/>
          <w:bCs/>
          <w:spacing w:val="3"/>
          <w:sz w:val="24"/>
          <w:szCs w:val="24"/>
        </w:rPr>
        <w:t xml:space="preserve"> возможность соблюдения гигиенических требований при организации захоронений и правил эксплуатации кладбищ.</w:t>
      </w:r>
    </w:p>
    <w:p>
      <w:pPr>
        <w:pStyle w:val="NoSpacing"/>
        <w:jc w:val="both"/>
        <w:rPr>
          <w:rFonts w:ascii="Arial" w:hAnsi="Arial" w:eastAsia="Times New Roman" w:cs="Arial"/>
          <w:bCs/>
          <w:color w:val="548DD4" w:themeColor="text2" w:themeTint="99"/>
          <w:kern w:val="2"/>
          <w:sz w:val="24"/>
          <w:szCs w:val="24"/>
        </w:rPr>
      </w:pPr>
      <w:r>
        <w:rPr>
          <w:rFonts w:eastAsia="Times New Roman" w:cs="Arial" w:ascii="Arial" w:hAnsi="Arial"/>
          <w:bCs/>
          <w:color w:val="548DD4" w:themeColor="text2" w:themeTint="99"/>
          <w:kern w:val="2"/>
          <w:sz w:val="24"/>
          <w:szCs w:val="24"/>
        </w:rPr>
      </w:r>
    </w:p>
    <w:p>
      <w:pPr>
        <w:pStyle w:val="NoSpacing"/>
        <w:jc w:val="both"/>
        <w:rPr>
          <w:rFonts w:ascii="Arial" w:hAnsi="Arial" w:eastAsia="Times New Roman" w:cs="Arial"/>
          <w:color w:val="548DD4" w:themeColor="text2" w:themeTint="99"/>
          <w:sz w:val="24"/>
          <w:szCs w:val="24"/>
        </w:rPr>
      </w:pPr>
      <w:r>
        <w:rPr>
          <w:rFonts w:eastAsia="Times New Roman" w:cs="Arial" w:ascii="Arial" w:hAnsi="Arial"/>
          <w:color w:val="548DD4" w:themeColor="text2" w:themeTint="99"/>
          <w:sz w:val="24"/>
          <w:szCs w:val="24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Выявление соответствия к размещению имеющихся и</w:t>
      </w:r>
    </w:p>
    <w:p>
      <w:pPr>
        <w:pStyle w:val="NoSpacing"/>
        <w:ind w:left="720" w:hanging="0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функционирующих кладбищ  гигиеническим требованиям,</w:t>
      </w:r>
    </w:p>
    <w:p>
      <w:pPr>
        <w:pStyle w:val="NoSpacing"/>
        <w:ind w:left="720" w:hanging="0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санитарно-эпидемиологическим правилам и нормативам</w:t>
      </w:r>
    </w:p>
    <w:p>
      <w:pPr>
        <w:pStyle w:val="NoSpacing"/>
        <w:jc w:val="both"/>
        <w:rPr>
          <w:rFonts w:ascii="Arial" w:hAnsi="Arial" w:eastAsia="Times New Roman" w:cs="Arial"/>
          <w:color w:val="FF0000"/>
          <w:sz w:val="24"/>
          <w:szCs w:val="24"/>
        </w:rPr>
      </w:pPr>
      <w:r>
        <w:rPr>
          <w:rFonts w:eastAsia="Times New Roman" w:cs="Arial" w:ascii="Arial" w:hAnsi="Arial"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3"/>
        <w:rPr>
          <w:rFonts w:ascii="Arial" w:hAnsi="Arial" w:eastAsia="Times New Roman" w:cs="Arial"/>
          <w:bCs/>
          <w:color w:val="000000"/>
          <w:spacing w:val="3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pacing w:val="3"/>
          <w:sz w:val="24"/>
          <w:szCs w:val="24"/>
        </w:rPr>
        <w:t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назначения»».</w:t>
      </w:r>
    </w:p>
    <w:p>
      <w:pPr>
        <w:pStyle w:val="Normal"/>
        <w:numPr>
          <w:ilvl w:val="0"/>
          <w:numId w:val="0"/>
        </w:numPr>
        <w:spacing w:before="0" w:after="0"/>
        <w:outlineLvl w:val="3"/>
        <w:rPr>
          <w:rFonts w:ascii="Times New Roman" w:hAnsi="Times New Roman" w:eastAsia="Times New Roman" w:cs="Times New Roman"/>
          <w:bCs/>
          <w:color w:val="000000"/>
          <w:spacing w:val="3"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pacing w:val="3"/>
          <w:sz w:val="26"/>
          <w:szCs w:val="26"/>
        </w:rPr>
      </w:r>
    </w:p>
    <w:tbl>
      <w:tblPr>
        <w:tblStyle w:val="a9"/>
        <w:tblW w:w="932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15"/>
        <w:gridCol w:w="3403"/>
        <w:gridCol w:w="1"/>
        <w:gridCol w:w="1842"/>
        <w:gridCol w:w="1"/>
        <w:gridCol w:w="1981"/>
        <w:gridCol w:w="1"/>
        <w:gridCol w:w="1278"/>
      </w:tblGrid>
      <w:tr>
        <w:trPr>
          <w:trHeight w:val="249" w:hRule="atLeast"/>
        </w:trPr>
        <w:tc>
          <w:tcPr>
            <w:tcW w:w="4219" w:type="dxa"/>
            <w:gridSpan w:val="3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Требования СанПиН 2.1.2882-11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  <w:tr>
        <w:trPr>
          <w:trHeight w:val="268" w:hRule="atLeast"/>
        </w:trPr>
        <w:tc>
          <w:tcPr>
            <w:tcW w:w="4219" w:type="dxa"/>
            <w:gridSpan w:val="3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color w:val="FF0000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color w:val="FF0000"/>
                <w:lang w:eastAsia="ru-RU"/>
              </w:rPr>
            </w:r>
          </w:p>
        </w:tc>
        <w:tc>
          <w:tcPr>
            <w:tcW w:w="5103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  <w:p>
            <w:pPr>
              <w:pStyle w:val="Normal"/>
              <w:spacing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Существующее положение на кладбищах Поселения</w:t>
            </w:r>
          </w:p>
          <w:p>
            <w:pPr>
              <w:pStyle w:val="NoSpacing"/>
              <w:spacing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</w:r>
          </w:p>
        </w:tc>
      </w:tr>
      <w:tr>
        <w:trPr>
          <w:trHeight w:val="465" w:hRule="atLeast"/>
        </w:trPr>
        <w:tc>
          <w:tcPr>
            <w:tcW w:w="4219" w:type="dxa"/>
            <w:gridSpan w:val="3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color w:val="FF0000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color w:val="FF0000"/>
                <w:lang w:eastAsia="ru-RU"/>
              </w:rPr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Д.Егоровская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</w:r>
          </w:p>
        </w:tc>
        <w:tc>
          <w:tcPr>
            <w:tcW w:w="198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д. Кербулак</w:t>
            </w:r>
          </w:p>
        </w:tc>
        <w:tc>
          <w:tcPr>
            <w:tcW w:w="12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д. Хуруй</w:t>
            </w:r>
          </w:p>
        </w:tc>
      </w:tr>
      <w:tr>
        <w:trPr>
          <w:trHeight w:val="1405" w:hRule="atLeast"/>
          <w:cantSplit w:val="true"/>
        </w:trPr>
        <w:tc>
          <w:tcPr>
            <w:tcW w:w="815" w:type="dxa"/>
            <w:vMerge w:val="restart"/>
            <w:tcBorders/>
            <w:shd w:fill="auto" w:val="clear"/>
            <w:tcMar>
              <w:left w:w="103" w:type="dxa"/>
            </w:tcMar>
            <w:textDirection w:val="btLr"/>
          </w:tcPr>
          <w:p>
            <w:pPr>
              <w:pStyle w:val="ConsPlusNormal"/>
              <w:spacing w:lineRule="auto" w:line="240" w:before="200" w:after="0"/>
              <w:ind w:left="113" w:right="113" w:hang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 xml:space="preserve">      </w:t>
            </w: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>Не разрешается размещать кладбища на территориях:</w:t>
            </w:r>
          </w:p>
        </w:tc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98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27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</w:tr>
      <w:tr>
        <w:trPr/>
        <w:tc>
          <w:tcPr>
            <w:tcW w:w="81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ind w:hanging="0"/>
              <w:jc w:val="both"/>
              <w:rPr>
                <w:rFonts w:ascii="Courier New" w:hAnsi="Courier New" w:eastAsia="" w:cs="Courier New" w:eastAsiaTheme="minorEastAsia"/>
                <w:sz w:val="22"/>
                <w:szCs w:val="22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sz w:val="22"/>
                <w:szCs w:val="22"/>
                <w:lang w:eastAsia="ru-RU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200"/>
              <w:ind w:hang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/>
                <w:sz w:val="22"/>
                <w:szCs w:val="22"/>
                <w:lang w:eastAsia="ru-RU"/>
              </w:rPr>
              <w:t>первой зоны санитарной охраны курортов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/>
                <w:color w:val="FF0000"/>
                <w:lang w:eastAsia="ru-RU"/>
              </w:rPr>
            </w:pPr>
            <w:r>
              <w:rPr>
                <w:rFonts w:eastAsia="" w:cs="Courier New" w:ascii="Courier New" w:hAnsi="Courier New"/>
                <w:color w:val="FF0000"/>
                <w:lang w:eastAsia="ru-RU"/>
              </w:rPr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98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27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</w:tr>
      <w:tr>
        <w:trPr/>
        <w:tc>
          <w:tcPr>
            <w:tcW w:w="81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lang w:eastAsia="ru-RU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" w:cs="Courier New" w:ascii="Courier New" w:hAnsi="Courier New" w:eastAsiaTheme="minorEastAsia"/>
                <w:lang w:eastAsia="ru-RU"/>
              </w:rPr>
              <w:t>с выходом на поверхность закарстованных, сильнотрещиноватых пород и в местах выклинивания водоносных горизонтов</w:t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98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27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</w:tr>
      <w:tr>
        <w:trPr>
          <w:trHeight w:val="1401" w:hRule="atLeast"/>
        </w:trPr>
        <w:tc>
          <w:tcPr>
            <w:tcW w:w="81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ind w:hanging="0"/>
              <w:jc w:val="both"/>
              <w:rPr>
                <w:rFonts w:ascii="Courier New" w:hAnsi="Courier New" w:eastAsia="" w:cs="Courier New" w:eastAsiaTheme="minorEastAsia"/>
                <w:sz w:val="22"/>
                <w:szCs w:val="22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sz w:val="22"/>
                <w:szCs w:val="22"/>
                <w:lang w:eastAsia="ru-RU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200"/>
              <w:ind w:hang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/>
                <w:sz w:val="22"/>
                <w:szCs w:val="22"/>
                <w:lang w:eastAsia="ru-RU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/>
                <w:color w:val="FF0000"/>
                <w:lang w:eastAsia="ru-RU"/>
              </w:rPr>
            </w:pPr>
            <w:r>
              <w:rPr>
                <w:rFonts w:eastAsia="" w:cs="Courier New" w:ascii="Courier New" w:hAnsi="Courier New"/>
                <w:color w:val="FF0000"/>
                <w:lang w:eastAsia="ru-RU"/>
              </w:rPr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98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27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</w:tr>
      <w:tr>
        <w:trPr>
          <w:trHeight w:val="1769" w:hRule="atLeast"/>
        </w:trPr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ind w:hanging="0"/>
              <w:jc w:val="both"/>
              <w:rPr>
                <w:rFonts w:ascii="Courier New" w:hAnsi="Courier New" w:eastAsia="" w:cs="Courier New" w:eastAsiaTheme="minorEastAsia"/>
                <w:sz w:val="22"/>
                <w:szCs w:val="22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sz w:val="22"/>
                <w:szCs w:val="22"/>
                <w:lang w:eastAsia="ru-RU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ind w:hang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98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27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</w:tr>
      <w:tr>
        <w:trPr>
          <w:trHeight w:val="1536" w:hRule="atLeast"/>
          <w:cantSplit w:val="true"/>
        </w:trPr>
        <w:tc>
          <w:tcPr>
            <w:tcW w:w="815" w:type="dxa"/>
            <w:vMerge w:val="restart"/>
            <w:tcBorders/>
            <w:shd w:fill="auto" w:val="clear"/>
            <w:tcMar>
              <w:left w:w="103" w:type="dxa"/>
            </w:tcMar>
            <w:textDirection w:val="btLr"/>
          </w:tcPr>
          <w:p>
            <w:pPr>
              <w:pStyle w:val="ConsPlusNormal"/>
              <w:spacing w:lineRule="auto" w:line="240" w:before="200" w:after="0"/>
              <w:ind w:left="113" w:right="113" w:hang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>Участок кладбища должен удовлетворять следующим требованиям</w:t>
            </w:r>
          </w:p>
        </w:tc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ind w:hang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98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27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</w:tr>
      <w:tr>
        <w:trPr>
          <w:trHeight w:val="633" w:hRule="atLeast"/>
        </w:trPr>
        <w:tc>
          <w:tcPr>
            <w:tcW w:w="81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ind w:hanging="0"/>
              <w:jc w:val="both"/>
              <w:rPr>
                <w:rFonts w:ascii="Courier New" w:hAnsi="Courier New" w:eastAsia="" w:cs="Courier New" w:eastAsiaTheme="minorEastAsia"/>
                <w:sz w:val="22"/>
                <w:szCs w:val="22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sz w:val="22"/>
                <w:szCs w:val="22"/>
                <w:lang w:eastAsia="ru-RU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ind w:hang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>не затопляться при паводках</w:t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98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27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</w:tr>
      <w:tr>
        <w:trPr>
          <w:trHeight w:val="2669" w:hRule="atLeast"/>
        </w:trPr>
        <w:tc>
          <w:tcPr>
            <w:tcW w:w="81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ind w:hanging="0"/>
              <w:jc w:val="both"/>
              <w:rPr>
                <w:rFonts w:ascii="Courier New" w:hAnsi="Courier New" w:eastAsia="" w:cs="Courier New" w:eastAsiaTheme="minorEastAsia"/>
                <w:sz w:val="22"/>
                <w:szCs w:val="22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sz w:val="22"/>
                <w:szCs w:val="22"/>
                <w:lang w:eastAsia="ru-RU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ind w:hang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98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27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</w:tr>
      <w:tr>
        <w:trPr>
          <w:trHeight w:val="1435" w:hRule="atLeast"/>
        </w:trPr>
        <w:tc>
          <w:tcPr>
            <w:tcW w:w="81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ind w:hanging="0"/>
              <w:jc w:val="both"/>
              <w:rPr>
                <w:rFonts w:ascii="Courier New" w:hAnsi="Courier New" w:eastAsia="" w:cs="Courier New" w:eastAsiaTheme="minorEastAsia"/>
                <w:sz w:val="22"/>
                <w:szCs w:val="22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sz w:val="22"/>
                <w:szCs w:val="22"/>
                <w:lang w:eastAsia="ru-RU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ind w:hang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98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27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</w:tr>
      <w:tr>
        <w:trPr>
          <w:trHeight w:val="1536" w:hRule="atLeast"/>
          <w:cantSplit w:val="true"/>
        </w:trPr>
        <w:tc>
          <w:tcPr>
            <w:tcW w:w="815" w:type="dxa"/>
            <w:vMerge w:val="restart"/>
            <w:tcBorders/>
            <w:shd w:fill="auto" w:val="clear"/>
            <w:tcMar>
              <w:left w:w="103" w:type="dxa"/>
            </w:tcMar>
            <w:textDirection w:val="btLr"/>
          </w:tcPr>
          <w:p>
            <w:pPr>
              <w:pStyle w:val="ConsPlusNormal"/>
              <w:spacing w:lineRule="auto" w:line="240" w:before="200" w:after="0"/>
              <w:ind w:left="113" w:right="113" w:hang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ind w:hang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98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27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</w:tr>
      <w:tr>
        <w:trPr>
          <w:trHeight w:val="1536" w:hRule="atLeast"/>
        </w:trPr>
        <w:tc>
          <w:tcPr>
            <w:tcW w:w="81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ind w:hanging="0"/>
              <w:jc w:val="both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</w:tc>
        <w:tc>
          <w:tcPr>
            <w:tcW w:w="3403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200" w:after="0"/>
              <w:ind w:hang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водоисточников</w:t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98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  <w:tc>
          <w:tcPr>
            <w:tcW w:w="127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соблюдается</w:t>
            </w:r>
          </w:p>
        </w:tc>
      </w:tr>
    </w:tbl>
    <w:p>
      <w:pPr>
        <w:pStyle w:val="NoSpacing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Выводы: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1.Имеющиеся и функционирующие на территории Поселения кладбища соответствуют гигиеническим требованиям к размещению кладбищ. 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2.</w:t>
      </w:r>
      <w:r>
        <w:rPr>
          <w:rFonts w:cs="Arial" w:ascii="Arial" w:hAnsi="Arial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Поселения кладбищ. 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4. Определение мероприятий по устройству имеющихся и функционирующих на территории поселения кладбищ</w:t>
      </w:r>
      <w:r>
        <w:rPr>
          <w:rFonts w:cs="Arial" w:ascii="Arial" w:hAnsi="Arial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tbl>
      <w:tblPr>
        <w:tblStyle w:val="a9"/>
        <w:tblW w:w="957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69"/>
        <w:gridCol w:w="2120"/>
        <w:gridCol w:w="2139"/>
        <w:gridCol w:w="1984"/>
        <w:gridCol w:w="1434"/>
        <w:gridCol w:w="2"/>
        <w:gridCol w:w="1222"/>
      </w:tblGrid>
      <w:tr>
        <w:trPr>
          <w:trHeight w:val="345" w:hRule="atLeast"/>
        </w:trPr>
        <w:tc>
          <w:tcPr>
            <w:tcW w:w="2789" w:type="dxa"/>
            <w:gridSpan w:val="2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Требования. СанПиН 2.1.2882-11</w:t>
            </w:r>
          </w:p>
        </w:tc>
        <w:tc>
          <w:tcPr>
            <w:tcW w:w="6781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Существующее положение на кладбищах Поселения</w:t>
            </w:r>
          </w:p>
        </w:tc>
      </w:tr>
      <w:tr>
        <w:trPr>
          <w:trHeight w:val="465" w:hRule="atLeast"/>
        </w:trPr>
        <w:tc>
          <w:tcPr>
            <w:tcW w:w="2789" w:type="dxa"/>
            <w:gridSpan w:val="2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color w:val="FF0000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color w:val="FF0000"/>
                <w:lang w:eastAsia="ru-RU"/>
              </w:rPr>
            </w:r>
          </w:p>
        </w:tc>
        <w:tc>
          <w:tcPr>
            <w:tcW w:w="213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д. Егоровская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д. Кербулак</w:t>
            </w:r>
          </w:p>
        </w:tc>
        <w:tc>
          <w:tcPr>
            <w:tcW w:w="265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д. Хуруй</w:t>
            </w:r>
          </w:p>
        </w:tc>
      </w:tr>
      <w:tr>
        <w:trPr>
          <w:trHeight w:val="465" w:hRule="atLeast"/>
        </w:trPr>
        <w:tc>
          <w:tcPr>
            <w:tcW w:w="669" w:type="dxa"/>
            <w:vMerge w:val="restart"/>
            <w:tcBorders/>
            <w:shd w:fill="auto" w:val="clear"/>
            <w:tcMar>
              <w:left w:w="103" w:type="dxa"/>
            </w:tcMar>
            <w:textDirection w:val="btLr"/>
          </w:tcPr>
          <w:p>
            <w:pPr>
              <w:pStyle w:val="NoSpacing"/>
              <w:spacing w:lineRule="auto" w:line="240" w:before="0" w:after="0"/>
              <w:ind w:left="113" w:right="113" w:hanging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п. 2.7.   В проекте устройства кладбищ необходимо предусмотреть</w:t>
            </w:r>
          </w:p>
        </w:tc>
        <w:tc>
          <w:tcPr>
            <w:tcW w:w="212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" w:cs="Courier New" w:ascii="Courier New" w:hAnsi="Courier New" w:eastAsiaTheme="minorEastAsia"/>
                <w:lang w:eastAsia="ru-RU"/>
              </w:rPr>
              <w:t>наличие водоупорного слоя для кладбищ традиционного типа</w:t>
            </w:r>
          </w:p>
        </w:tc>
        <w:tc>
          <w:tcPr>
            <w:tcW w:w="213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" w:cs="Courier New" w:ascii="Courier New" w:hAnsi="Courier New" w:eastAsiaTheme="minorEastAsia"/>
                <w:lang w:eastAsia="ru-RU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" w:cs="Courier New" w:ascii="Courier New" w:hAnsi="Courier New" w:eastAsiaTheme="minorEastAsia"/>
                <w:lang w:eastAsia="ru-RU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265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" w:cs="Courier New" w:ascii="Courier New" w:hAnsi="Courier New" w:eastAsiaTheme="minorEastAsia"/>
                <w:lang w:eastAsia="ru-RU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>
        <w:trPr>
          <w:trHeight w:val="465" w:hRule="atLeast"/>
        </w:trPr>
        <w:tc>
          <w:tcPr>
            <w:tcW w:w="66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color w:val="FF0000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color w:val="FF0000"/>
                <w:lang w:eastAsia="ru-RU"/>
              </w:rPr>
            </w:r>
          </w:p>
        </w:tc>
        <w:tc>
          <w:tcPr>
            <w:tcW w:w="2120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 w:before="0" w:after="0"/>
              <w:ind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/>
                <w:sz w:val="22"/>
                <w:szCs w:val="22"/>
                <w:lang w:eastAsia="ru-RU"/>
              </w:rPr>
              <w:t>систему дренажа</w:t>
            </w:r>
          </w:p>
          <w:p>
            <w:pPr>
              <w:pStyle w:val="NoSpacing"/>
              <w:spacing w:before="0" w:after="0"/>
              <w:jc w:val="both"/>
              <w:rPr>
                <w:rFonts w:ascii="Courier New" w:hAnsi="Courier New" w:eastAsia="" w:cs="Courier New"/>
                <w:color w:val="FF0000"/>
                <w:lang w:eastAsia="ru-RU"/>
              </w:rPr>
            </w:pPr>
            <w:r>
              <w:rPr>
                <w:rFonts w:eastAsia="" w:cs="Courier New" w:ascii="Courier New" w:hAnsi="Courier New"/>
                <w:color w:val="FF0000"/>
                <w:lang w:eastAsia="ru-RU"/>
              </w:rPr>
            </w:r>
          </w:p>
        </w:tc>
        <w:tc>
          <w:tcPr>
            <w:tcW w:w="213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265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Нет необходимости в системе дренажа из-за отсутствия избыточной влажности</w:t>
            </w:r>
          </w:p>
        </w:tc>
      </w:tr>
      <w:tr>
        <w:trPr>
          <w:trHeight w:val="465" w:hRule="atLeast"/>
        </w:trPr>
        <w:tc>
          <w:tcPr>
            <w:tcW w:w="66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color w:val="FF0000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color w:val="FF0000"/>
                <w:lang w:eastAsia="ru-RU"/>
              </w:rPr>
            </w:r>
          </w:p>
        </w:tc>
        <w:tc>
          <w:tcPr>
            <w:tcW w:w="2120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 w:before="0" w:after="0"/>
              <w:ind w:hang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/>
                <w:sz w:val="22"/>
                <w:szCs w:val="22"/>
                <w:lang w:eastAsia="ru-RU"/>
              </w:rPr>
              <w:t>обваловку территории</w:t>
            </w:r>
          </w:p>
          <w:p>
            <w:pPr>
              <w:pStyle w:val="NoSpacing"/>
              <w:spacing w:before="0" w:after="0"/>
              <w:jc w:val="both"/>
              <w:rPr>
                <w:rFonts w:ascii="Courier New" w:hAnsi="Courier New" w:eastAsia="" w:cs="Courier New"/>
                <w:color w:val="FF0000"/>
                <w:lang w:eastAsia="ru-RU"/>
              </w:rPr>
            </w:pPr>
            <w:r>
              <w:rPr>
                <w:rFonts w:eastAsia="" w:cs="Courier New" w:ascii="Courier New" w:hAnsi="Courier New"/>
                <w:color w:val="FF0000"/>
                <w:lang w:eastAsia="ru-RU"/>
              </w:rPr>
            </w:r>
          </w:p>
        </w:tc>
        <w:tc>
          <w:tcPr>
            <w:tcW w:w="213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 xml:space="preserve">нет необходимости в обваловке территории кладбища, т.к. кладбище находится на возвышенности с песчаным грунтом, нет сточных вод 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нет необходимости в обваловке территории кладбища, т.к. кладбища находятся на возвышенности с песчаным грунтом, нет сточных вод</w:t>
            </w:r>
          </w:p>
        </w:tc>
        <w:tc>
          <w:tcPr>
            <w:tcW w:w="265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нет необходимости в обваловке территории кладбища, т.к. кладбище находится на возвышенности с песчаным грунтом, нет сточных вод а</w:t>
            </w:r>
          </w:p>
        </w:tc>
      </w:tr>
      <w:tr>
        <w:trPr>
          <w:trHeight w:val="465" w:hRule="atLeast"/>
        </w:trPr>
        <w:tc>
          <w:tcPr>
            <w:tcW w:w="66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color w:val="FF0000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color w:val="FF0000"/>
                <w:lang w:eastAsia="ru-RU"/>
              </w:rPr>
            </w:r>
          </w:p>
        </w:tc>
        <w:tc>
          <w:tcPr>
            <w:tcW w:w="212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" w:cs="Courier New" w:ascii="Courier New" w:hAnsi="Courier New" w:eastAsiaTheme="minorEastAsia"/>
                <w:lang w:eastAsia="ru-RU"/>
              </w:rPr>
              <w:t>характер и площадь зеленых насаждений</w:t>
            </w:r>
          </w:p>
        </w:tc>
        <w:tc>
          <w:tcPr>
            <w:tcW w:w="213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Имеются зеленые насаждения, характерные для  лиственного леса естественного происхождения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Имеются зеленые насаждения, характерные для  смешанного леса естественного происхождения</w:t>
            </w:r>
          </w:p>
        </w:tc>
        <w:tc>
          <w:tcPr>
            <w:tcW w:w="265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Имеются зеленые насаждения, характерные для  смешанного леса естественного происхождения</w:t>
            </w:r>
          </w:p>
        </w:tc>
      </w:tr>
      <w:tr>
        <w:trPr>
          <w:trHeight w:val="465" w:hRule="atLeast"/>
        </w:trPr>
        <w:tc>
          <w:tcPr>
            <w:tcW w:w="66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color w:val="FF0000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color w:val="FF0000"/>
                <w:lang w:eastAsia="ru-RU"/>
              </w:rPr>
            </w:r>
          </w:p>
        </w:tc>
        <w:tc>
          <w:tcPr>
            <w:tcW w:w="212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" w:cs="Courier New" w:ascii="Courier New" w:hAnsi="Courier New" w:eastAsiaTheme="minorEastAsia"/>
                <w:lang w:eastAsia="ru-RU"/>
              </w:rPr>
              <w:t>организацию подъездных путей и автостоянок</w:t>
            </w:r>
          </w:p>
        </w:tc>
        <w:tc>
          <w:tcPr>
            <w:tcW w:w="213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7F7F7F" w:themeColor="text1" w:themeTint="8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265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7F7F7F" w:themeColor="text1" w:themeTint="8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>
        <w:trPr>
          <w:trHeight w:val="465" w:hRule="atLeast"/>
        </w:trPr>
        <w:tc>
          <w:tcPr>
            <w:tcW w:w="66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color w:val="FF0000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color w:val="FF0000"/>
                <w:lang w:eastAsia="ru-RU"/>
              </w:rPr>
            </w:r>
          </w:p>
        </w:tc>
        <w:tc>
          <w:tcPr>
            <w:tcW w:w="212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" w:cs="Courier New" w:ascii="Courier New" w:hAnsi="Courier New" w:eastAsiaTheme="minorEastAsia"/>
                <w:lang w:eastAsia="ru-RU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213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265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>
        <w:trPr>
          <w:trHeight w:val="465" w:hRule="atLeast"/>
        </w:trPr>
        <w:tc>
          <w:tcPr>
            <w:tcW w:w="669" w:type="dxa"/>
            <w:vMerge w:val="restart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color w:val="FF0000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color w:val="FF0000"/>
                <w:lang w:eastAsia="ru-RU"/>
              </w:rPr>
            </w:r>
          </w:p>
        </w:tc>
        <w:tc>
          <w:tcPr>
            <w:tcW w:w="212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" w:cs="Courier New" w:ascii="Courier New" w:hAnsi="Courier New" w:eastAsiaTheme="minorEastAsia"/>
                <w:lang w:eastAsia="ru-RU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213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265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>
        <w:trPr>
          <w:trHeight w:val="465" w:hRule="atLeast"/>
        </w:trPr>
        <w:tc>
          <w:tcPr>
            <w:tcW w:w="669" w:type="dxa"/>
            <w:vMerge w:val="continue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color w:val="FF0000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color w:val="FF0000"/>
                <w:lang w:eastAsia="ru-RU"/>
              </w:rPr>
            </w:r>
          </w:p>
        </w:tc>
        <w:tc>
          <w:tcPr>
            <w:tcW w:w="212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" w:cs="Courier New" w:ascii="Courier New" w:hAnsi="Courier New" w:eastAsiaTheme="minorEastAsia"/>
                <w:lang w:eastAsia="ru-RU"/>
              </w:rPr>
              <w:t>канализование, водоснабжение, теплоэлектроснабжение, благоустройство территории.</w:t>
            </w:r>
          </w:p>
          <w:p>
            <w:pPr>
              <w:pStyle w:val="NoSpacing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 xml:space="preserve">В соответствии </w:t>
            </w:r>
          </w:p>
          <w:p>
            <w:pPr>
              <w:pStyle w:val="NoSpacing"/>
              <w:spacing w:lineRule="auto" w:line="240" w:before="0" w:after="0"/>
              <w:rPr>
                <w:rFonts w:ascii="Courier New" w:hAnsi="Courier New" w:eastAsia="Times New Roman" w:cs="Courier New"/>
                <w:color w:val="FF0000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213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265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>
        <w:trPr>
          <w:trHeight w:val="7727" w:hRule="atLeast"/>
        </w:trPr>
        <w:tc>
          <w:tcPr>
            <w:tcW w:w="66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п.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6.6.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п.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6.7.</w:t>
            </w:r>
          </w:p>
        </w:tc>
        <w:tc>
          <w:tcPr>
            <w:tcW w:w="212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" w:cs="Courier New" w:ascii="Courier New" w:hAnsi="Courier New" w:eastAsiaTheme="minorEastAsia"/>
                <w:lang w:eastAsia="ru-RU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cs="Courier New"/>
              </w:rPr>
            </w:pPr>
            <w:r>
              <w:rPr>
                <w:rFonts w:eastAsia="" w:cs="Courier New" w:ascii="Courier New" w:hAnsi="Courier New" w:eastAsiaTheme="minorEastAsia"/>
                <w:lang w:eastAsia="ru-RU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213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- в мае и до выпада устойчивого снежного Имеются зеленые насаждения, характерные для  лиственного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покрова – в октябре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5080</wp:posOffset>
                      </wp:positionV>
                      <wp:extent cx="1667510" cy="4915535"/>
                      <wp:effectExtent l="0" t="0" r="0" b="0"/>
                      <wp:wrapNone/>
                      <wp:docPr id="1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00" cy="491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2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Courier New" w:ascii="Courier New" w:hAnsi="Courier New"/>
                                      <w:color w:val="auto"/>
                                    </w:rPr>
                      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" fillcolor="white" stroked="t" style="position:absolute;margin-left:93.8pt;margin-top:0.4pt;width:131.2pt;height:386.95pt">
                      <w10:wrap type="square"/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Style22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Courier New" w:ascii="Courier New" w:hAnsi="Courier New"/>
                                <w:color w:val="auto"/>
                              </w:rPr>
                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Courier New" w:ascii="Courier New" w:hAnsi="Courier New"/>
                <w:lang w:eastAsia="ru-RU"/>
              </w:rPr>
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  <w:tr>
        <w:trPr>
          <w:trHeight w:val="100" w:hRule="atLeast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342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 xml:space="preserve">5. Выполнение мероприятий по устройству имеющихся и функционирующих </w:t>
      </w:r>
    </w:p>
    <w:p>
      <w:pPr>
        <w:pStyle w:val="NoSpacing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на территории Поселения кладбищ</w:t>
      </w:r>
    </w:p>
    <w:p>
      <w:pPr>
        <w:pStyle w:val="NoSpacing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tbl>
      <w:tblPr>
        <w:tblStyle w:val="a9"/>
        <w:tblW w:w="9039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652"/>
        <w:gridCol w:w="1985"/>
        <w:gridCol w:w="1701"/>
        <w:gridCol w:w="1700"/>
      </w:tblGrid>
      <w:tr>
        <w:trPr>
          <w:trHeight w:val="345" w:hRule="atLeast"/>
        </w:trPr>
        <w:tc>
          <w:tcPr>
            <w:tcW w:w="365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Мероприятие</w:t>
            </w:r>
          </w:p>
        </w:tc>
        <w:tc>
          <w:tcPr>
            <w:tcW w:w="5386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Количество, период проведения работ</w:t>
            </w:r>
          </w:p>
        </w:tc>
      </w:tr>
      <w:tr>
        <w:trPr>
          <w:trHeight w:val="375" w:hRule="atLeast"/>
        </w:trPr>
        <w:tc>
          <w:tcPr>
            <w:tcW w:w="365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color w:val="FF0000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color w:val="FF0000"/>
                <w:lang w:eastAsia="ru-RU"/>
              </w:rPr>
            </w:r>
          </w:p>
        </w:tc>
        <w:tc>
          <w:tcPr>
            <w:tcW w:w="198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д. Егоровская</w:t>
            </w:r>
          </w:p>
        </w:tc>
        <w:tc>
          <w:tcPr>
            <w:tcW w:w="170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д. Кербулак</w:t>
            </w:r>
          </w:p>
        </w:tc>
        <w:tc>
          <w:tcPr>
            <w:tcW w:w="170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д. Хуруй</w:t>
            </w:r>
          </w:p>
        </w:tc>
      </w:tr>
      <w:tr>
        <w:trPr>
          <w:trHeight w:val="360" w:hRule="atLeast"/>
        </w:trPr>
        <w:tc>
          <w:tcPr>
            <w:tcW w:w="365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color w:val="FF0000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color w:val="FF0000"/>
                <w:lang w:eastAsia="ru-RU"/>
              </w:rPr>
            </w:r>
          </w:p>
        </w:tc>
        <w:tc>
          <w:tcPr>
            <w:tcW w:w="198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lang w:eastAsia="ru-RU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lang w:eastAsia="ru-RU"/>
              </w:rPr>
            </w:r>
          </w:p>
        </w:tc>
        <w:tc>
          <w:tcPr>
            <w:tcW w:w="170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eastAsia="" w:cs="Courier New" w:eastAsiaTheme="minorEastAsia" w:ascii="Courier New" w:hAnsi="Courier New"/>
                <w:lang w:eastAsia="ru-RU"/>
              </w:rPr>
            </w:r>
          </w:p>
        </w:tc>
      </w:tr>
      <w:tr>
        <w:trPr>
          <w:trHeight w:val="465" w:hRule="atLeast"/>
        </w:trPr>
        <w:tc>
          <w:tcPr>
            <w:tcW w:w="3652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0" w:after="0"/>
              <w:ind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>Установка площадок и урн для мусора, общественных туалетов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2019-2020г.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2021г.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2022г.</w:t>
            </w:r>
          </w:p>
        </w:tc>
      </w:tr>
      <w:tr>
        <w:trPr>
          <w:trHeight w:val="465" w:hRule="atLeast"/>
        </w:trPr>
        <w:tc>
          <w:tcPr>
            <w:tcW w:w="3652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40" w:before="0" w:after="0"/>
              <w:ind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>Расчистка от сухостойных деревьев, прореживание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2020г.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2021г.</w:t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2022г.</w:t>
            </w:r>
          </w:p>
        </w:tc>
      </w:tr>
      <w:tr>
        <w:trPr>
          <w:trHeight w:val="465" w:hRule="atLeast"/>
        </w:trPr>
        <w:tc>
          <w:tcPr>
            <w:tcW w:w="3652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 w:before="0" w:after="0"/>
              <w:ind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 xml:space="preserve">Вывоз мусора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ежегодно по мере надобности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ежегодно по мере надобности</w:t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ежегодно по мере надобности</w:t>
            </w:r>
          </w:p>
        </w:tc>
      </w:tr>
      <w:tr>
        <w:trPr>
          <w:trHeight w:val="465" w:hRule="atLeast"/>
        </w:trPr>
        <w:tc>
          <w:tcPr>
            <w:tcW w:w="3652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 w:before="0" w:after="0"/>
              <w:ind w:hang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eastAsia="" w:cs="Courier New" w:ascii="Courier New" w:hAnsi="Courier New" w:eastAsiaTheme="minorEastAsia"/>
                <w:sz w:val="22"/>
                <w:szCs w:val="22"/>
                <w:lang w:eastAsia="ru-RU"/>
              </w:rPr>
              <w:t>Очистка подъездных путей и стоянок автотранспорта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ежегодно в зимний период по мере надобности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ежегодно в зимний период по мере надобности</w:t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lang w:eastAsia="ru-RU"/>
              </w:rPr>
              <w:t>ежегодно в зимний период по мере надобности</w:t>
            </w:r>
          </w:p>
        </w:tc>
      </w:tr>
    </w:tbl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color w:val="FF0000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FF0000"/>
          <w:kern w:val="2"/>
          <w:sz w:val="24"/>
          <w:szCs w:val="24"/>
        </w:rPr>
      </w:r>
    </w:p>
    <w:p>
      <w:pPr>
        <w:pStyle w:val="NoSpacing"/>
        <w:jc w:val="center"/>
        <w:rPr>
          <w:rFonts w:ascii="Arial" w:hAnsi="Arial" w:eastAsia="Times New Roman" w:cs="Arial"/>
          <w:b/>
          <w:b/>
          <w:bCs/>
          <w:kern w:val="2"/>
          <w:sz w:val="24"/>
          <w:szCs w:val="24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</w:rPr>
      </w:r>
    </w:p>
    <w:p>
      <w:pPr>
        <w:pStyle w:val="NoSpacing"/>
        <w:jc w:val="center"/>
        <w:rPr>
          <w:rFonts w:ascii="Arial" w:hAnsi="Arial" w:eastAsia="Times New Roman" w:cs="Arial"/>
          <w:b/>
          <w:b/>
          <w:bCs/>
          <w:kern w:val="2"/>
          <w:sz w:val="24"/>
          <w:szCs w:val="24"/>
        </w:rPr>
      </w:pPr>
      <w:bookmarkStart w:id="2" w:name="_GoBack"/>
      <w:bookmarkEnd w:id="2"/>
      <w:r>
        <w:rPr>
          <w:rFonts w:eastAsia="Times New Roman" w:cs="Arial" w:ascii="Arial" w:hAnsi="Arial"/>
          <w:b/>
          <w:bCs/>
          <w:kern w:val="2"/>
          <w:sz w:val="24"/>
          <w:szCs w:val="24"/>
        </w:rPr>
        <w:t>6. Оценка эффективности мероприятий Проекта</w:t>
      </w:r>
    </w:p>
    <w:p>
      <w:pPr>
        <w:pStyle w:val="NoSpacing"/>
        <w:spacing w:lineRule="auto" w:line="276"/>
        <w:jc w:val="center"/>
        <w:rPr>
          <w:rFonts w:ascii="Arial" w:hAnsi="Arial" w:eastAsia="Times New Roman" w:cs="Arial"/>
          <w:b/>
          <w:b/>
          <w:bCs/>
          <w:kern w:val="2"/>
          <w:sz w:val="24"/>
          <w:szCs w:val="24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</w:rPr>
      </w:r>
    </w:p>
    <w:p>
      <w:pPr>
        <w:pStyle w:val="NoSpacing"/>
        <w:spacing w:lineRule="auto" w:line="276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Выполнение включённых в Проект мероприятий при условии разработки эффективных механизмов их реализации позволит </w:t>
      </w:r>
      <w:r>
        <w:rPr>
          <w:rFonts w:cs="Arial" w:ascii="Arial" w:hAnsi="Arial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кладбищ с целью реализации гражданами права на благоприятную среду обитания, гарантированного Конституцией Российской Федерации.</w:t>
      </w:r>
    </w:p>
    <w:p>
      <w:pPr>
        <w:pStyle w:val="NoSpacing"/>
        <w:jc w:val="both"/>
        <w:rPr>
          <w:rFonts w:ascii="Arial" w:hAnsi="Arial" w:eastAsia="Times New Roman" w:cs="Arial"/>
          <w:color w:val="FF0000"/>
          <w:sz w:val="24"/>
          <w:szCs w:val="24"/>
        </w:rPr>
      </w:pPr>
      <w:r>
        <w:rPr>
          <w:rFonts w:eastAsia="Times New Roman" w:cs="Arial" w:ascii="Arial" w:hAnsi="Arial"/>
          <w:color w:val="FF0000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7. Организация контроля за реализацией Программы</w:t>
      </w:r>
    </w:p>
    <w:p>
      <w:pPr>
        <w:pStyle w:val="NoSpacing"/>
        <w:spacing w:lineRule="auto" w:line="276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Организационная структура управления Проектом базируется на существующей схеме исполнительной власти сельского поселения. </w:t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Проекта входит определение приоритетов, постановка оперативных и краткосрочных целей Проекта.</w:t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Оперативные функции по реализации Проекта осуществляют штатные сотрудники администрации поселения под руководством главы сельского поселения. </w:t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Глава  поселения осуществляет следующие действия:</w:t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рассматривает и утверждает план мероприятий, объемы их финансирования и сроки реализации.</w:t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Специалисты администрации поселения осуществляют следующие функции:</w:t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контроль выполнение плана мероприятий;</w:t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- формирование бюджетных заявок на выделение средств из муниципального бюджета поселения; </w:t>
      </w:r>
    </w:p>
    <w:p>
      <w:pPr>
        <w:pStyle w:val="NoSpacing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554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f67f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f67f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df67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67fd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df67fd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df67fd"/>
    <w:rPr/>
  </w:style>
  <w:style w:type="character" w:styleId="Style15" w:customStyle="1">
    <w:name w:val="Название Знак"/>
    <w:basedOn w:val="DefaultParagraphFont"/>
    <w:link w:val="aa"/>
    <w:qFormat/>
    <w:rsid w:val="00987d2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rFonts w:ascii="Courier New" w:hAnsi="Courier New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Courier New" w:hAnsi="Courier New" w:cs="Symbol"/>
      <w:sz w:val="20"/>
    </w:rPr>
  </w:style>
  <w:style w:type="character" w:styleId="ListLabel14">
    <w:name w:val="ListLabel 14"/>
    <w:qFormat/>
    <w:rPr>
      <w:rFonts w:cs="Courier New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20">
    <w:name w:val="ListLabel 20"/>
    <w:qFormat/>
    <w:rPr>
      <w:rFonts w:cs="Wingdings"/>
      <w:sz w:val="20"/>
    </w:rPr>
  </w:style>
  <w:style w:type="character" w:styleId="ListLabel21">
    <w:name w:val="ListLabel 21"/>
    <w:qFormat/>
    <w:rPr>
      <w:rFonts w:cs="Wingdings"/>
      <w:sz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f67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f67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7fd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df67f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Headertext" w:customStyle="1">
    <w:name w:val="headertext"/>
    <w:basedOn w:val="Normal"/>
    <w:qFormat/>
    <w:rsid w:val="00df67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Title"/>
    <w:basedOn w:val="Normal"/>
    <w:link w:val="ab"/>
    <w:qFormat/>
    <w:rsid w:val="00987d2d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f6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LibreOffice/5.4.1.2$Windows_x86 LibreOffice_project/ea7cb86e6eeb2bf3a5af73a8f7777ac570321527</Application>
  <Pages>11</Pages>
  <Words>2025</Words>
  <Characters>14977</Characters>
  <CharactersWithSpaces>16819</CharactersWithSpaces>
  <Paragraphs>244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2019-02-28T04:58:00Z</dcterms:created>
  <dc:creator>Admin</dc:creator>
  <dc:description/>
  <dc:language>ru-RU</dc:language>
  <cp:lastModifiedBy/>
  <cp:lastPrinted>2019-06-19T08:21:00Z</cp:lastPrinted>
  <dcterms:modified xsi:type="dcterms:W3CDTF">2019-09-16T11:33:51Z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