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EF5567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650FC6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.01.2018</w:t>
      </w:r>
      <w:r w:rsidR="007F1851">
        <w:rPr>
          <w:rFonts w:ascii="Arial" w:hAnsi="Arial" w:cs="Arial"/>
          <w:b/>
          <w:sz w:val="32"/>
        </w:rPr>
        <w:t>г. №</w:t>
      </w:r>
      <w:r w:rsidR="003B265E">
        <w:rPr>
          <w:rFonts w:ascii="Arial" w:hAnsi="Arial" w:cs="Arial"/>
          <w:b/>
          <w:sz w:val="32"/>
        </w:rPr>
        <w:t>3</w:t>
      </w:r>
      <w:r w:rsidR="008B41EF" w:rsidRPr="008B41EF">
        <w:rPr>
          <w:rFonts w:ascii="Arial" w:hAnsi="Arial" w:cs="Arial"/>
          <w:b/>
          <w:sz w:val="32"/>
        </w:rPr>
        <w:t>-п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>Р О С С И Й С К А Я Ф Е Д Е Р А Ц И 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«Табарсук»,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2. Опубликовать постановление в периодическом издании «Табарсукский вестник» и разместить в сети  Интернет на сайте  МО «Табарсук».</w:t>
      </w: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3. Контроль за исполнением настоящего постановления возложить на главу МО «Табарсук».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CF116E" w:rsidRPr="001B35F6" w:rsidRDefault="00CF116E" w:rsidP="00CF116E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F116E" w:rsidRPr="00CF116E" w:rsidRDefault="00CF116E" w:rsidP="00082130">
      <w:pPr>
        <w:pStyle w:val="a3"/>
        <w:jc w:val="both"/>
        <w:rPr>
          <w:rFonts w:ascii="Arial" w:hAnsi="Arial" w:cs="Arial"/>
          <w:sz w:val="24"/>
        </w:rPr>
        <w:sectPr w:rsidR="00CF116E" w:rsidRPr="00CF116E" w:rsidSect="006670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082130" w:rsidRPr="0056168D" w:rsidTr="002130FA">
        <w:tc>
          <w:tcPr>
            <w:tcW w:w="5387" w:type="dxa"/>
          </w:tcPr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lastRenderedPageBreak/>
              <w:t xml:space="preserve">Утверждаю:                                                                                                                    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u w:val="single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t xml:space="preserve">глава </w:t>
            </w:r>
            <w:r w:rsidRPr="0056168D">
              <w:rPr>
                <w:rFonts w:ascii="Courier New" w:hAnsi="Courier New" w:cs="Courier New"/>
              </w:rPr>
              <w:t>администрации МО «</w:t>
            </w:r>
            <w:r w:rsidRPr="0056168D">
              <w:rPr>
                <w:rFonts w:ascii="Courier New" w:hAnsi="Courier New" w:cs="Courier New"/>
                <w:u w:val="single"/>
              </w:rPr>
              <w:t xml:space="preserve"> Табарсук </w:t>
            </w:r>
            <w:r w:rsidRPr="0056168D">
              <w:rPr>
                <w:rFonts w:ascii="Courier New" w:hAnsi="Courier New" w:cs="Courier New"/>
              </w:rPr>
              <w:t>»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___________   ___________________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168D">
              <w:rPr>
                <w:rFonts w:ascii="Courier New" w:hAnsi="Courier New" w:cs="Courier New"/>
                <w:sz w:val="16"/>
                <w:szCs w:val="16"/>
              </w:rPr>
              <w:t xml:space="preserve">      (Подпись)                        (ФИО)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«____»___________20____г.</w:t>
            </w:r>
          </w:p>
        </w:tc>
        <w:tc>
          <w:tcPr>
            <w:tcW w:w="4927" w:type="dxa"/>
          </w:tcPr>
          <w:p w:rsidR="00082130" w:rsidRPr="0056168D" w:rsidRDefault="00082130" w:rsidP="009A4BBA">
            <w:pPr>
              <w:tabs>
                <w:tab w:val="left" w:pos="7895"/>
                <w:tab w:val="right" w:pos="9355"/>
              </w:tabs>
              <w:spacing w:after="0"/>
              <w:jc w:val="center"/>
              <w:rPr>
                <w:rStyle w:val="FontStyle62"/>
                <w:rFonts w:ascii="Courier New" w:hAnsi="Courier New" w:cs="Courier New"/>
                <w:b w:val="0"/>
              </w:rPr>
            </w:pPr>
          </w:p>
        </w:tc>
        <w:tc>
          <w:tcPr>
            <w:tcW w:w="4820" w:type="dxa"/>
          </w:tcPr>
          <w:p w:rsidR="00082130" w:rsidRPr="0056168D" w:rsidRDefault="0056168D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b w:val="0"/>
              </w:rPr>
              <w:t xml:space="preserve">Приложение </w:t>
            </w:r>
            <w:r w:rsidR="00082130" w:rsidRPr="0056168D">
              <w:rPr>
                <w:rStyle w:val="FontStyle62"/>
                <w:rFonts w:ascii="Courier New" w:hAnsi="Courier New" w:cs="Courier New"/>
                <w:b w:val="0"/>
              </w:rPr>
              <w:t>к постановлению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МО «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  <w:u w:val="single"/>
              </w:rPr>
              <w:t>Табарсук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  <w:p w:rsidR="00082130" w:rsidRPr="0056168D" w:rsidRDefault="00A57AD6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от </w:t>
            </w:r>
            <w:r w:rsidR="00962AAE">
              <w:rPr>
                <w:rFonts w:ascii="Courier New" w:hAnsi="Courier New" w:cs="Courier New"/>
                <w:sz w:val="24"/>
                <w:szCs w:val="24"/>
              </w:rPr>
              <w:t>29</w:t>
            </w:r>
            <w:r w:rsidR="009A4BBA">
              <w:rPr>
                <w:rFonts w:ascii="Courier New" w:hAnsi="Courier New" w:cs="Courier New"/>
                <w:sz w:val="24"/>
                <w:szCs w:val="24"/>
              </w:rPr>
              <w:t>.01.2018</w:t>
            </w:r>
            <w:r w:rsidR="00962AAE">
              <w:rPr>
                <w:rFonts w:ascii="Courier New" w:hAnsi="Courier New" w:cs="Courier New"/>
                <w:sz w:val="24"/>
                <w:szCs w:val="24"/>
              </w:rPr>
              <w:t xml:space="preserve">г. № </w:t>
            </w:r>
            <w:r w:rsidR="003B265E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>-п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4D46BB" w:rsidRDefault="004D46BB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Pr="00620D5A" w:rsidRDefault="00082130" w:rsidP="00082130">
      <w:pPr>
        <w:pStyle w:val="Style2"/>
        <w:widowControl/>
        <w:spacing w:line="240" w:lineRule="auto"/>
        <w:jc w:val="left"/>
        <w:rPr>
          <w:b/>
          <w:bCs/>
        </w:rPr>
      </w:pPr>
    </w:p>
    <w:p w:rsidR="00082130" w:rsidRPr="00620D5A" w:rsidRDefault="00082130" w:rsidP="00082130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82130" w:rsidRPr="0056168D" w:rsidRDefault="00082130" w:rsidP="00082130">
      <w:pPr>
        <w:tabs>
          <w:tab w:val="left" w:pos="7895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68D">
        <w:rPr>
          <w:rFonts w:ascii="Arial" w:hAnsi="Arial" w:cs="Arial"/>
          <w:b/>
          <w:sz w:val="28"/>
          <w:szCs w:val="28"/>
        </w:rPr>
        <w:t>МУНИЦИПАЛЬНОЕ ЗАДАНИЕ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168D">
        <w:rPr>
          <w:rFonts w:ascii="Arial" w:hAnsi="Arial" w:cs="Arial"/>
          <w:sz w:val="28"/>
          <w:szCs w:val="28"/>
        </w:rPr>
        <w:t>Муниципальное бюджетное учреждение культуры «Информационно-культурный центр МО «</w:t>
      </w:r>
      <w:r w:rsidRPr="0056168D">
        <w:rPr>
          <w:rFonts w:ascii="Arial" w:hAnsi="Arial" w:cs="Arial"/>
          <w:sz w:val="28"/>
          <w:szCs w:val="28"/>
          <w:u w:val="single"/>
        </w:rPr>
        <w:t>Табарсук</w:t>
      </w:r>
      <w:r w:rsidRPr="0056168D">
        <w:rPr>
          <w:rFonts w:ascii="Arial" w:hAnsi="Arial" w:cs="Arial"/>
          <w:sz w:val="28"/>
          <w:szCs w:val="28"/>
        </w:rPr>
        <w:t>»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6168D">
        <w:rPr>
          <w:rFonts w:ascii="Arial" w:hAnsi="Arial" w:cs="Arial"/>
          <w:sz w:val="16"/>
          <w:szCs w:val="16"/>
        </w:rPr>
        <w:t>(наименование муниципального бюджетного учреждения)</w:t>
      </w:r>
    </w:p>
    <w:p w:rsidR="00082130" w:rsidRPr="0056168D" w:rsidRDefault="009A4BBA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2018 год  и плановый период 2019-2020</w:t>
      </w:r>
      <w:r w:rsidR="00082130" w:rsidRPr="0056168D">
        <w:rPr>
          <w:rFonts w:ascii="Arial" w:hAnsi="Arial" w:cs="Arial"/>
          <w:sz w:val="28"/>
          <w:szCs w:val="28"/>
        </w:rPr>
        <w:t>гг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130" w:rsidRPr="0056168D" w:rsidRDefault="00082130" w:rsidP="0056168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lastRenderedPageBreak/>
        <w:t>ЧАСТЬ 1. УСЛУГИ.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t xml:space="preserve">РАЗДЕЛ 1. 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(при наличии 2 и более разделов)</w:t>
      </w:r>
    </w:p>
    <w:p w:rsidR="00082130" w:rsidRPr="0056168D" w:rsidRDefault="00082130" w:rsidP="00082130">
      <w:pPr>
        <w:spacing w:after="0"/>
        <w:ind w:left="360" w:firstLine="34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1.Наименование  муниципальной услуги:</w:t>
      </w:r>
      <w:r w:rsidRPr="0056168D">
        <w:rPr>
          <w:rFonts w:ascii="Arial" w:hAnsi="Arial" w:cs="Arial"/>
          <w:color w:val="000000"/>
          <w:sz w:val="24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2. Потребители муниципальной услуги: физические лица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 xml:space="preserve">3. Показатели, характеризующие объем и  (или) качество муниципальной услуги 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082130" w:rsidRPr="00CE7E6E" w:rsidTr="002130FA">
        <w:trPr>
          <w:trHeight w:val="420"/>
        </w:trPr>
        <w:tc>
          <w:tcPr>
            <w:tcW w:w="322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формула</w:t>
            </w:r>
          </w:p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082130" w:rsidRPr="00CE7E6E" w:rsidTr="002130FA">
        <w:trPr>
          <w:trHeight w:val="1712"/>
        </w:trPr>
        <w:tc>
          <w:tcPr>
            <w:tcW w:w="322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82130" w:rsidRPr="00CE7E6E" w:rsidTr="002130FA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418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701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082130" w:rsidRPr="00620D5A" w:rsidRDefault="00082130" w:rsidP="00082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130" w:rsidRPr="0056168D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082130" w:rsidRPr="004A5C08" w:rsidTr="002130FA">
        <w:tc>
          <w:tcPr>
            <w:tcW w:w="5811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 информации о значении показателя</w:t>
            </w:r>
          </w:p>
        </w:tc>
      </w:tr>
      <w:tr w:rsidR="00082130" w:rsidRPr="004A5C08" w:rsidTr="002130FA">
        <w:tc>
          <w:tcPr>
            <w:tcW w:w="5811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1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2409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4A5C08" w:rsidTr="002130FA">
        <w:tc>
          <w:tcPr>
            <w:tcW w:w="5811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посещений</w:t>
            </w:r>
          </w:p>
        </w:tc>
        <w:tc>
          <w:tcPr>
            <w:tcW w:w="1243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BC34BC" w:rsidRPr="004A5C08">
              <w:rPr>
                <w:rFonts w:ascii="Courier New" w:hAnsi="Courier New" w:cs="Courier New"/>
                <w:szCs w:val="24"/>
              </w:rPr>
              <w:t>00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52</w:t>
            </w:r>
            <w:r w:rsidR="009A4BBA">
              <w:rPr>
                <w:rFonts w:ascii="Courier New" w:hAnsi="Courier New" w:cs="Courier New"/>
                <w:szCs w:val="24"/>
              </w:rPr>
              <w:t>5</w:t>
            </w:r>
            <w:r w:rsidR="00082130"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9A4BB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550</w:t>
            </w:r>
            <w:r w:rsidR="00BC34BC"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5</w:t>
            </w:r>
            <w:r w:rsidR="009A4BBA">
              <w:rPr>
                <w:rFonts w:ascii="Courier New" w:hAnsi="Courier New" w:cs="Courier New"/>
                <w:szCs w:val="24"/>
              </w:rPr>
              <w:t>51</w:t>
            </w:r>
            <w:r w:rsidR="00BC34BC"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4A5C08">
              <w:rPr>
                <w:rFonts w:ascii="Courier New" w:hAnsi="Courier New" w:cs="Courier New"/>
                <w:sz w:val="18"/>
                <w:szCs w:val="20"/>
              </w:rPr>
              <w:lastRenderedPageBreak/>
              <w:t xml:space="preserve">Дневник работы </w:t>
            </w:r>
            <w:r w:rsidRPr="004A5C08">
              <w:rPr>
                <w:rFonts w:ascii="Courier New" w:hAnsi="Courier New" w:cs="Courier New"/>
                <w:sz w:val="18"/>
                <w:szCs w:val="20"/>
              </w:rPr>
              <w:lastRenderedPageBreak/>
              <w:t>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Courier New" w:hAnsi="Courier New" w:cs="Courier New"/>
          <w:szCs w:val="24"/>
        </w:rPr>
      </w:pPr>
    </w:p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 Порядок оказания муниципальной услуги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4.1. Нормативные правовые акты, регулирующие порядок оказания  муниципальной услуги: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Конституцией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Гражданским кодексом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РФ «Основы законодательства РФ о культуре» от 9.10. 1992г. № 3612 – 1(с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РФ «Об общих принципах организации местного самоуправления в РФ» от 06.10.2003г. № 131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обязательном экземпляре документов» от 29.12. 1994г. № 77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 библиотечном деле» от 29.12. 1994г. № 78 ( 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информации, информационных технологиях и о защите информации» от 27.07. 2006г. № 149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Федеральным законом «О персональных данных» от 27.07.2006г. № 152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Письмом Министерства финансов РФ «Об инвентаризации библиотечных фондов» от 04.11.1998г. № 16-00-16-198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 библиотечном деле в Иркутской области» от 03.10.1997г. № 40 ( с изменениями)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082130" w:rsidRPr="00A57AD6" w:rsidRDefault="00082130" w:rsidP="00082130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4A5C08">
        <w:rPr>
          <w:rFonts w:ascii="Arial" w:hAnsi="Arial" w:cs="Arial"/>
          <w:sz w:val="24"/>
          <w:szCs w:val="28"/>
        </w:rPr>
        <w:t xml:space="preserve">-  Уставом МБУК ИКЦ МО « 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>», утвержденным Постановлением главы МО «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 xml:space="preserve">» от </w:t>
      </w:r>
      <w:r w:rsidRPr="004A5C08">
        <w:rPr>
          <w:rFonts w:ascii="Arial" w:hAnsi="Arial" w:cs="Arial"/>
          <w:sz w:val="24"/>
          <w:szCs w:val="28"/>
          <w:u w:val="single"/>
        </w:rPr>
        <w:t xml:space="preserve"> 13.12.2011г. </w:t>
      </w:r>
      <w:r w:rsidRPr="004A5C08">
        <w:rPr>
          <w:rFonts w:ascii="Arial" w:hAnsi="Arial" w:cs="Arial"/>
          <w:sz w:val="24"/>
          <w:szCs w:val="28"/>
        </w:rPr>
        <w:t>№ 28-п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Библиотечное, библиографическое и информационное обслуживание пользователей библиотеки</w:t>
      </w:r>
      <w:r w:rsidRPr="004A5C08">
        <w:rPr>
          <w:rFonts w:ascii="Arial" w:hAnsi="Arial" w:cs="Arial"/>
          <w:sz w:val="24"/>
          <w:szCs w:val="28"/>
        </w:rPr>
        <w:t xml:space="preserve">» от  12.02.2016г.  № 13-п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творчества» от 12.02.2016г. № 12-п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color w:val="000000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sz w:val="24"/>
          <w:szCs w:val="28"/>
        </w:rPr>
        <w:t xml:space="preserve">Организация </w:t>
      </w:r>
      <w:r w:rsidR="003B265E">
        <w:rPr>
          <w:rFonts w:ascii="Arial" w:hAnsi="Arial" w:cs="Arial"/>
          <w:sz w:val="24"/>
          <w:szCs w:val="28"/>
        </w:rPr>
        <w:t xml:space="preserve">и проведение культурно-массовых мероприятий (культурно-массовых (иные зрелищные мероприятия))» </w:t>
      </w:r>
      <w:r w:rsidRPr="004A5C08">
        <w:rPr>
          <w:rFonts w:ascii="Arial" w:hAnsi="Arial" w:cs="Arial"/>
          <w:sz w:val="24"/>
          <w:szCs w:val="28"/>
        </w:rPr>
        <w:t>от 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.0</w:t>
      </w:r>
      <w:r w:rsidR="003B265E">
        <w:rPr>
          <w:rFonts w:ascii="Arial" w:hAnsi="Arial" w:cs="Arial"/>
          <w:sz w:val="24"/>
          <w:szCs w:val="28"/>
        </w:rPr>
        <w:t>4</w:t>
      </w:r>
      <w:r w:rsidRPr="004A5C08">
        <w:rPr>
          <w:rFonts w:ascii="Arial" w:hAnsi="Arial" w:cs="Arial"/>
          <w:sz w:val="24"/>
          <w:szCs w:val="28"/>
        </w:rPr>
        <w:t>.201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г. № 1</w:t>
      </w:r>
      <w:r w:rsidR="003B265E">
        <w:rPr>
          <w:rFonts w:ascii="Arial" w:hAnsi="Arial" w:cs="Arial"/>
          <w:sz w:val="24"/>
          <w:szCs w:val="28"/>
        </w:rPr>
        <w:t>8</w:t>
      </w:r>
      <w:r w:rsidRPr="004A5C08">
        <w:rPr>
          <w:rFonts w:ascii="Arial" w:hAnsi="Arial" w:cs="Arial"/>
          <w:sz w:val="24"/>
          <w:szCs w:val="28"/>
        </w:rPr>
        <w:t>-п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иными нормативно-правовыми документами</w:t>
      </w:r>
    </w:p>
    <w:p w:rsidR="00082130" w:rsidRPr="0093443D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Способ информирования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Состав размещаемой (доводимой)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Частота обновления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СМИ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-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По мере необходимости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</w:rPr>
      </w:pP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</w:p>
    <w:p w:rsidR="00082130" w:rsidRPr="004A5C08" w:rsidRDefault="00082130" w:rsidP="00082130">
      <w:pPr>
        <w:spacing w:after="0"/>
        <w:rPr>
          <w:rFonts w:ascii="Arial" w:hAnsi="Arial" w:cs="Arial"/>
          <w:b/>
          <w:color w:val="FF0000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Основания для досрочного прекращения исполнения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ликвидация (реорганизация) учреждения;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исключение муниципальной услуги из перечня муниципальных услуг;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возникновение чрезвычайных или аварийных ситуаций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6.1</w:t>
      </w:r>
      <w:r w:rsidRPr="004A5C08">
        <w:rPr>
          <w:rFonts w:ascii="Arial" w:hAnsi="Arial" w:cs="Arial"/>
          <w:b/>
          <w:sz w:val="24"/>
          <w:szCs w:val="28"/>
        </w:rPr>
        <w:t xml:space="preserve">. </w:t>
      </w:r>
      <w:r w:rsidRPr="004A5C08">
        <w:rPr>
          <w:rFonts w:ascii="Arial" w:hAnsi="Arial" w:cs="Arial"/>
          <w:sz w:val="24"/>
          <w:szCs w:val="28"/>
        </w:rPr>
        <w:t xml:space="preserve">Нормативный правовой акт, устанавливающий цены (тарифы) либо порядок их установления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6.2.Орган, устанавливающий цены (тарифы)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6.3. Значения предельных цен (тарифов)</w:t>
      </w:r>
    </w:p>
    <w:p w:rsidR="00082130" w:rsidRPr="005555B3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>7. Порядок контроля за исполнением муниципального задания</w:t>
      </w:r>
      <w:r w:rsidRPr="004A5C08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1.Отчет по выполнению муниципального </w:t>
            </w:r>
            <w:r w:rsidR="00BC34BC" w:rsidRPr="004A5C08">
              <w:rPr>
                <w:rFonts w:ascii="Courier New" w:hAnsi="Courier New" w:cs="Courier New"/>
                <w:szCs w:val="24"/>
              </w:rPr>
              <w:t>задания на 2017</w:t>
            </w:r>
            <w:r w:rsidRPr="004A5C08">
              <w:rPr>
                <w:rFonts w:ascii="Courier New" w:hAnsi="Courier New" w:cs="Courier New"/>
                <w:szCs w:val="24"/>
              </w:rPr>
              <w:t xml:space="preserve">г. 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ГРБС - Администрация МО «Табарсук»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МБУК «МБЦ им.А.В.Вампилова»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1451"/>
        <w:gridCol w:w="1933"/>
        <w:gridCol w:w="1759"/>
        <w:gridCol w:w="2798"/>
        <w:gridCol w:w="3063"/>
      </w:tblGrid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 измерения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Значение, утвержденное </w:t>
            </w:r>
            <w:r w:rsidRPr="004A5C08">
              <w:rPr>
                <w:rFonts w:ascii="Courier New" w:hAnsi="Courier New" w:cs="Courier New"/>
              </w:rPr>
              <w:lastRenderedPageBreak/>
              <w:t>в муниципальном задании на отчетный период</w:t>
            </w: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Фактическое значение за </w:t>
            </w:r>
            <w:r w:rsidRPr="004A5C08">
              <w:rPr>
                <w:rFonts w:ascii="Courier New" w:hAnsi="Courier New" w:cs="Courier New"/>
              </w:rPr>
              <w:lastRenderedPageBreak/>
              <w:t>отчётный период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Характеристика причин отклонений </w:t>
            </w:r>
            <w:r w:rsidRPr="004A5C08">
              <w:rPr>
                <w:rFonts w:ascii="Courier New" w:hAnsi="Courier New" w:cs="Courier New"/>
              </w:rPr>
              <w:lastRenderedPageBreak/>
              <w:t xml:space="preserve">от запланированных значений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Источник(и) информации о </w:t>
            </w:r>
            <w:r w:rsidRPr="004A5C08">
              <w:rPr>
                <w:rFonts w:ascii="Courier New" w:hAnsi="Courier New" w:cs="Courier New"/>
              </w:rPr>
              <w:lastRenderedPageBreak/>
              <w:t>фактическом значении показателя</w:t>
            </w:r>
          </w:p>
        </w:tc>
      </w:tr>
      <w:tr w:rsidR="00082130" w:rsidRPr="00620D5A" w:rsidTr="002130FA">
        <w:tc>
          <w:tcPr>
            <w:tcW w:w="14997" w:type="dxa"/>
            <w:gridSpan w:val="6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Качество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082130" w:rsidRPr="00620D5A" w:rsidTr="002130FA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Дневник работы 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9. Иная информация, необходимая для исполнения (контроля за исполнением) муниципального задания: по усмотрению ГРБС.</w:t>
      </w:r>
    </w:p>
    <w:p w:rsidR="008B05AE" w:rsidRDefault="008B05AE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ЧАСТЬ 2. РАБОТЫ.</w:t>
      </w: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РАЗДЕЛ 1.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 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  <w:r w:rsidRPr="004A5C08">
        <w:rPr>
          <w:rFonts w:ascii="Arial" w:hAnsi="Arial" w:cs="Arial"/>
          <w:b/>
          <w:sz w:val="24"/>
          <w:szCs w:val="28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082130" w:rsidRPr="00CE7E6E" w:rsidTr="002130FA">
        <w:trPr>
          <w:trHeight w:val="420"/>
        </w:trPr>
        <w:tc>
          <w:tcPr>
            <w:tcW w:w="29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268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Содержание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Показатель</w:t>
            </w:r>
          </w:p>
        </w:tc>
        <w:tc>
          <w:tcPr>
            <w:tcW w:w="1417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9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10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20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</w:tr>
    </w:tbl>
    <w:p w:rsidR="00082130" w:rsidRPr="004A5C08" w:rsidRDefault="00082130" w:rsidP="00082130">
      <w:pPr>
        <w:numPr>
          <w:ilvl w:val="0"/>
          <w:numId w:val="1"/>
        </w:numPr>
        <w:tabs>
          <w:tab w:val="left" w:pos="426"/>
        </w:tabs>
        <w:spacing w:before="240"/>
        <w:ind w:left="142" w:firstLine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Основание для 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Пункт, часть, статья и реквизиты нормативного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A5C08">
              <w:rPr>
                <w:rFonts w:ascii="Courier New" w:hAnsi="Courier New" w:cs="Courier New"/>
                <w:color w:val="000000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</w:t>
            </w:r>
            <w:r w:rsidRPr="004A5C08">
              <w:rPr>
                <w:rFonts w:ascii="Courier New" w:hAnsi="Courier New" w:cs="Courier New"/>
              </w:rPr>
              <w:lastRenderedPageBreak/>
              <w:t>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 главы администрации МО «Табарсук» от  12.02.2016г   № 12-п</w:t>
            </w:r>
          </w:p>
        </w:tc>
      </w:tr>
    </w:tbl>
    <w:p w:rsidR="00082130" w:rsidRPr="004A5C08" w:rsidRDefault="00082130" w:rsidP="00082130">
      <w:pPr>
        <w:spacing w:before="240"/>
        <w:jc w:val="both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1.Отчет по ПФХД за 2018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>
              <w:rPr>
                <w:rFonts w:ascii="Courier New" w:hAnsi="Courier New" w:cs="Courier New"/>
              </w:rPr>
              <w:t>ю муниципального задания на 2018</w:t>
            </w:r>
            <w:r w:rsidR="00082130" w:rsidRPr="004A5C08">
              <w:rPr>
                <w:rFonts w:ascii="Courier New" w:hAnsi="Courier New" w:cs="Courier New"/>
              </w:rPr>
              <w:t xml:space="preserve">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268"/>
        <w:gridCol w:w="2409"/>
        <w:gridCol w:w="2694"/>
        <w:gridCol w:w="2551"/>
      </w:tblGrid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55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p w:rsidR="00082130" w:rsidRDefault="00082130" w:rsidP="0008213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 xml:space="preserve">РАЗДЕЛ 2. 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sz w:val="24"/>
          <w:szCs w:val="28"/>
        </w:rPr>
        <w:t xml:space="preserve">организация </w:t>
      </w:r>
      <w:r w:rsidR="00200554">
        <w:rPr>
          <w:rFonts w:ascii="Arial" w:hAnsi="Arial" w:cs="Arial"/>
          <w:i/>
          <w:sz w:val="24"/>
          <w:szCs w:val="28"/>
        </w:rPr>
        <w:t xml:space="preserve">и проведение культурно-массовых мероприятий </w:t>
      </w:r>
      <w:r w:rsidRPr="004A5C08">
        <w:rPr>
          <w:rFonts w:ascii="Arial" w:hAnsi="Arial" w:cs="Arial"/>
          <w:i/>
          <w:sz w:val="24"/>
          <w:szCs w:val="28"/>
        </w:rPr>
        <w:t>(</w:t>
      </w:r>
      <w:r w:rsidR="00200554">
        <w:rPr>
          <w:rFonts w:ascii="Arial" w:hAnsi="Arial" w:cs="Arial"/>
          <w:i/>
          <w:sz w:val="24"/>
          <w:szCs w:val="28"/>
        </w:rPr>
        <w:t>культурно-массовых (иные зрелищные мероприятия)</w:t>
      </w:r>
      <w:r w:rsidRPr="004A5C08">
        <w:rPr>
          <w:rFonts w:ascii="Arial" w:hAnsi="Arial" w:cs="Arial"/>
          <w:i/>
          <w:sz w:val="24"/>
          <w:szCs w:val="28"/>
        </w:rPr>
        <w:t>)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082130" w:rsidRPr="00CE7E6E" w:rsidTr="002130FA">
        <w:trPr>
          <w:trHeight w:val="420"/>
        </w:trPr>
        <w:tc>
          <w:tcPr>
            <w:tcW w:w="2802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802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2B628F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2B628F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2B628F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2B628F">
              <w:rPr>
                <w:rFonts w:ascii="Courier New" w:hAnsi="Courier New" w:cs="Courier New"/>
                <w:szCs w:val="24"/>
              </w:rPr>
              <w:t>20</w:t>
            </w:r>
          </w:p>
        </w:tc>
      </w:tr>
      <w:tr w:rsidR="00082130" w:rsidRPr="00CE7E6E" w:rsidTr="002130FA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</w:t>
            </w:r>
            <w:r w:rsidR="002B628F">
              <w:rPr>
                <w:rFonts w:ascii="Courier New" w:hAnsi="Courier New" w:cs="Courier New"/>
                <w:szCs w:val="24"/>
              </w:rPr>
              <w:t>6</w:t>
            </w:r>
            <w:r w:rsidR="00BC34BC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1560" w:type="dxa"/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37</w:t>
            </w:r>
            <w:r w:rsidR="00082130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38</w:t>
            </w:r>
            <w:r w:rsidR="00082130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38</w:t>
            </w:r>
            <w:r w:rsidR="002B628F">
              <w:rPr>
                <w:rFonts w:ascii="Courier New" w:hAnsi="Courier New" w:cs="Courier New"/>
                <w:szCs w:val="24"/>
              </w:rPr>
              <w:t>50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BC34BC" w:rsidRPr="004A5C08">
              <w:rPr>
                <w:rFonts w:ascii="Courier New" w:hAnsi="Courier New" w:cs="Courier New"/>
                <w:szCs w:val="24"/>
              </w:rPr>
              <w:t>6</w:t>
            </w:r>
            <w:r w:rsidR="002B628F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2B628F">
              <w:rPr>
                <w:rFonts w:ascii="Courier New" w:hAnsi="Courier New" w:cs="Courier New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BC34BC" w:rsidRPr="004A5C08">
              <w:rPr>
                <w:rFonts w:ascii="Courier New" w:hAnsi="Courier New" w:cs="Courier New"/>
                <w:szCs w:val="24"/>
              </w:rPr>
              <w:t>7</w:t>
            </w:r>
            <w:r w:rsidR="002B628F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17</w:t>
            </w:r>
            <w:r w:rsidR="002B628F">
              <w:rPr>
                <w:rFonts w:ascii="Courier New" w:hAnsi="Courier New" w:cs="Courier New"/>
                <w:szCs w:val="24"/>
              </w:rPr>
              <w:t>6</w:t>
            </w:r>
          </w:p>
        </w:tc>
      </w:tr>
    </w:tbl>
    <w:p w:rsidR="00082130" w:rsidRPr="004A5C08" w:rsidRDefault="00082130" w:rsidP="00082130">
      <w:pPr>
        <w:spacing w:after="0"/>
        <w:ind w:left="360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3. Основания для досрочного прекращения муниципального задания</w:t>
      </w:r>
      <w:r w:rsidRPr="004A5C08">
        <w:rPr>
          <w:rFonts w:ascii="Arial" w:hAnsi="Arial" w:cs="Arial"/>
          <w:szCs w:val="24"/>
        </w:rPr>
        <w:t>:</w:t>
      </w:r>
    </w:p>
    <w:p w:rsidR="00082130" w:rsidRPr="00291BF7" w:rsidRDefault="00082130" w:rsidP="000821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Основание для 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Пункт, часть, статья и реквизиты нормативного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005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 w:rsidR="00200554"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 w:rsidR="00200554"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 w:rsidR="00200554"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</w:tbl>
    <w:p w:rsidR="00082130" w:rsidRPr="004A5C08" w:rsidRDefault="00082130" w:rsidP="00082130">
      <w:pPr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lastRenderedPageBreak/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Отчет по ПФХД на 2018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ГРБС – Администрация МО «Табарсук» 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B62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 w:rsidR="00BC34BC" w:rsidRPr="004A5C08">
              <w:rPr>
                <w:rFonts w:ascii="Courier New" w:hAnsi="Courier New" w:cs="Courier New"/>
              </w:rPr>
              <w:t>ю муниципального задания на 201</w:t>
            </w:r>
            <w:r>
              <w:rPr>
                <w:rFonts w:ascii="Courier New" w:hAnsi="Courier New" w:cs="Courier New"/>
              </w:rPr>
              <w:t>8</w:t>
            </w:r>
            <w:r w:rsidR="00082130" w:rsidRPr="004A5C08">
              <w:rPr>
                <w:rFonts w:ascii="Courier New" w:hAnsi="Courier New" w:cs="Courier New"/>
              </w:rPr>
              <w:t>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2381"/>
        <w:gridCol w:w="2387"/>
        <w:gridCol w:w="2197"/>
        <w:gridCol w:w="2556"/>
        <w:gridCol w:w="2655"/>
      </w:tblGrid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C65DD1" w:rsidRPr="00A57AD6" w:rsidRDefault="00082130" w:rsidP="00A57AD6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sectPr w:rsidR="00C65DD1" w:rsidRPr="00A57AD6" w:rsidSect="00AE5411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84" w:rsidRDefault="00F47984" w:rsidP="000B5195">
      <w:pPr>
        <w:spacing w:after="0" w:line="240" w:lineRule="auto"/>
      </w:pPr>
      <w:r>
        <w:separator/>
      </w:r>
    </w:p>
  </w:endnote>
  <w:endnote w:type="continuationSeparator" w:id="1">
    <w:p w:rsidR="00F47984" w:rsidRDefault="00F47984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84" w:rsidRDefault="00F47984" w:rsidP="000B5195">
      <w:pPr>
        <w:spacing w:after="0" w:line="240" w:lineRule="auto"/>
      </w:pPr>
      <w:r>
        <w:separator/>
      </w:r>
    </w:p>
  </w:footnote>
  <w:footnote w:type="continuationSeparator" w:id="1">
    <w:p w:rsidR="00F47984" w:rsidRDefault="00F47984" w:rsidP="000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7D" w:rsidRDefault="00F479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30"/>
    <w:rsid w:val="00057EC7"/>
    <w:rsid w:val="00082130"/>
    <w:rsid w:val="00091060"/>
    <w:rsid w:val="000B5195"/>
    <w:rsid w:val="00200554"/>
    <w:rsid w:val="002A26B0"/>
    <w:rsid w:val="002B628F"/>
    <w:rsid w:val="003B265E"/>
    <w:rsid w:val="003C77C3"/>
    <w:rsid w:val="004A5C08"/>
    <w:rsid w:val="004D46BB"/>
    <w:rsid w:val="0056168D"/>
    <w:rsid w:val="00650FC6"/>
    <w:rsid w:val="006A6633"/>
    <w:rsid w:val="007804CA"/>
    <w:rsid w:val="007F1851"/>
    <w:rsid w:val="008B05AE"/>
    <w:rsid w:val="008B41EF"/>
    <w:rsid w:val="00962AAE"/>
    <w:rsid w:val="009A4BBA"/>
    <w:rsid w:val="00A57AD6"/>
    <w:rsid w:val="00A8235E"/>
    <w:rsid w:val="00AA5766"/>
    <w:rsid w:val="00BC34BC"/>
    <w:rsid w:val="00C65DD1"/>
    <w:rsid w:val="00CF116E"/>
    <w:rsid w:val="00EB6C55"/>
    <w:rsid w:val="00EF285A"/>
    <w:rsid w:val="00EF5567"/>
    <w:rsid w:val="00F40937"/>
    <w:rsid w:val="00F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65E-0D16-44B0-987D-819319C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2018-01-29T02:28:00Z</cp:lastPrinted>
  <dcterms:created xsi:type="dcterms:W3CDTF">2017-01-21T08:47:00Z</dcterms:created>
  <dcterms:modified xsi:type="dcterms:W3CDTF">2018-01-29T02:28:00Z</dcterms:modified>
</cp:coreProperties>
</file>